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10 2019, ore 19,30</w:t>
      </w:r>
    </w:p>
    <w:p w:rsidR="00000000" w:rsidDel="00000000" w:rsidP="00000000" w:rsidRDefault="00000000" w:rsidRPr="00000000" w14:paraId="00000002">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SCHEMA DI DECRETO-LEGGE RECANTE DISPOSIZIONI URGENTI IN MATERIA FISCALE E PER ESIGENZE INDIFFERIBILI</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INDICE </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TITOLO I </w:t>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Misure di contrasto all’evasione fiscale e contributiva ed alle frodi fiscali</w:t>
      </w:r>
    </w:p>
    <w:p w:rsidR="00000000" w:rsidDel="00000000" w:rsidP="00000000" w:rsidRDefault="00000000" w:rsidRPr="00000000" w14:paraId="00000009">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 – Accollo del debito d’imposta altrui e divieto di compensazione</w:t>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 – Cessazione partita IVA ed inibizione compensazione</w:t>
      </w:r>
    </w:p>
    <w:p w:rsidR="00000000" w:rsidDel="00000000" w:rsidP="00000000" w:rsidRDefault="00000000" w:rsidRPr="00000000" w14:paraId="0000000C">
      <w:pPr>
        <w:spacing w:after="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 – Contrasto alle indebite compensazioni </w:t>
      </w:r>
    </w:p>
    <w:p w:rsidR="00000000" w:rsidDel="00000000" w:rsidP="00000000" w:rsidRDefault="00000000" w:rsidRPr="00000000" w14:paraId="0000000D">
      <w:pPr>
        <w:spacing w:after="0" w:lineRule="auto"/>
        <w:ind w:left="993" w:hanging="993"/>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Art. 4 – Estensione regime reverse charge per il contrasto dell’illecita somministrazione di manodopera </w:t>
      </w:r>
    </w:p>
    <w:p w:rsidR="00000000" w:rsidDel="00000000" w:rsidP="00000000" w:rsidRDefault="00000000" w:rsidRPr="00000000" w14:paraId="0000000E">
      <w:pPr>
        <w:spacing w:after="0" w:lineRule="auto"/>
        <w:ind w:left="993" w:hanging="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Art.  5 – Ritenute e compensazioni in appalti e subappalti</w:t>
      </w:r>
      <w:r w:rsidDel="00000000" w:rsidR="00000000" w:rsidRPr="00000000">
        <w:rPr>
          <w:rtl w:val="0"/>
        </w:rPr>
      </w:r>
    </w:p>
    <w:p w:rsidR="00000000" w:rsidDel="00000000" w:rsidP="00000000" w:rsidRDefault="00000000" w:rsidRPr="00000000" w14:paraId="0000000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6 – Contrasto alle frodi in materia di accisa </w:t>
      </w:r>
    </w:p>
    <w:p w:rsidR="00000000" w:rsidDel="00000000" w:rsidP="00000000" w:rsidRDefault="00000000" w:rsidRPr="00000000" w14:paraId="00000010">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7 – Prevenzione delle frodi nel settore dei carburanti </w:t>
      </w:r>
    </w:p>
    <w:p w:rsidR="00000000" w:rsidDel="00000000" w:rsidP="00000000" w:rsidRDefault="00000000" w:rsidRPr="00000000" w14:paraId="00000011">
      <w:pPr>
        <w:spacing w:after="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8 - Contrasto alle frodi nel settore degli idrocarburi e di altri prodotti  </w:t>
      </w:r>
    </w:p>
    <w:p w:rsidR="00000000" w:rsidDel="00000000" w:rsidP="00000000" w:rsidRDefault="00000000" w:rsidRPr="00000000" w14:paraId="0000001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9 – Frodi nell’acquisto di veicoli fiscalmente usati</w:t>
      </w:r>
    </w:p>
    <w:p w:rsidR="00000000" w:rsidDel="00000000" w:rsidP="00000000" w:rsidRDefault="00000000" w:rsidRPr="00000000" w14:paraId="00000013">
      <w:pPr>
        <w:spacing w:after="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10 – Estensione sistema INFOIL</w:t>
      </w:r>
    </w:p>
    <w:p w:rsidR="00000000" w:rsidDel="00000000" w:rsidP="00000000" w:rsidRDefault="00000000" w:rsidRPr="00000000" w14:paraId="00000014">
      <w:pPr>
        <w:spacing w:after="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11 - Introduzione del Documento Amministrativo Semplificato Telematico</w:t>
      </w:r>
    </w:p>
    <w:p w:rsidR="00000000" w:rsidDel="00000000" w:rsidP="00000000" w:rsidRDefault="00000000" w:rsidRPr="00000000" w14:paraId="00000015">
      <w:pPr>
        <w:spacing w:after="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12 - Trasmissione telematica dei quantitativi di energia elettrica e di gas naturale </w:t>
      </w:r>
    </w:p>
    <w:p w:rsidR="00000000" w:rsidDel="00000000" w:rsidP="00000000" w:rsidRDefault="00000000" w:rsidRPr="00000000" w14:paraId="00000016">
      <w:pPr>
        <w:spacing w:after="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13 – Disposizioni in materia di confisca </w:t>
      </w:r>
    </w:p>
    <w:p w:rsidR="00000000" w:rsidDel="00000000" w:rsidP="00000000" w:rsidRDefault="00000000" w:rsidRPr="00000000" w14:paraId="0000001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14 - Trust esteri </w:t>
      </w:r>
    </w:p>
    <w:p w:rsidR="00000000" w:rsidDel="00000000" w:rsidP="00000000" w:rsidRDefault="00000000" w:rsidRPr="00000000" w14:paraId="00000018">
      <w:pPr>
        <w:spacing w:after="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15 – Utilizzo dei files delle fatture elettroniche </w:t>
      </w:r>
    </w:p>
    <w:p w:rsidR="00000000" w:rsidDel="00000000" w:rsidP="00000000" w:rsidRDefault="00000000" w:rsidRPr="00000000" w14:paraId="0000001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16 -  Fatturazione elettronica e sistema Tessera Sanitaria</w:t>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17 - Precompilata IVA </w:t>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18 - Imposta di bollo sulle fatture elettroniche</w:t>
      </w:r>
    </w:p>
    <w:p w:rsidR="00000000" w:rsidDel="00000000" w:rsidP="00000000" w:rsidRDefault="00000000" w:rsidRPr="00000000" w14:paraId="0000001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19 – Modifiche al regime dell’utilizzo del contante</w:t>
      </w:r>
    </w:p>
    <w:p w:rsidR="00000000" w:rsidDel="00000000" w:rsidP="00000000" w:rsidRDefault="00000000" w:rsidRPr="00000000" w14:paraId="0000001D">
      <w:pPr>
        <w:spacing w:after="0" w:lineRule="auto"/>
        <w:ind w:left="851" w:hanging="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20 – Esenzione fiscale dei premi della lotteria degli scontrini ed istituzione di premi speciali per il cashless </w:t>
      </w:r>
    </w:p>
    <w:p w:rsidR="00000000" w:rsidDel="00000000" w:rsidP="00000000" w:rsidRDefault="00000000" w:rsidRPr="00000000" w14:paraId="000000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21 - Sanzione lotteria degli scontrini </w:t>
      </w:r>
    </w:p>
    <w:p w:rsidR="00000000" w:rsidDel="00000000" w:rsidP="00000000" w:rsidRDefault="00000000" w:rsidRPr="00000000" w14:paraId="0000001F">
      <w:pPr>
        <w:spacing w:after="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22 – Certificazioni fiscali e pagamenti elettronici </w:t>
      </w:r>
    </w:p>
    <w:p w:rsidR="00000000" w:rsidDel="00000000" w:rsidP="00000000" w:rsidRDefault="00000000" w:rsidRPr="00000000" w14:paraId="00000020">
      <w:pPr>
        <w:spacing w:after="0" w:lineRule="auto"/>
        <w:ind w:left="567" w:hanging="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Art. 23 – Sanzioni per mancata accettazione di pagamenti effettuati con carte di debito e credito</w:t>
      </w:r>
      <w:r w:rsidDel="00000000" w:rsidR="00000000" w:rsidRPr="00000000">
        <w:rPr>
          <w:rtl w:val="0"/>
        </w:rPr>
      </w:r>
    </w:p>
    <w:p w:rsidR="00000000" w:rsidDel="00000000" w:rsidP="00000000" w:rsidRDefault="00000000" w:rsidRPr="00000000" w14:paraId="00000021">
      <w:pPr>
        <w:spacing w:after="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24 – Obbligo conto dedicato per le imprese individuali ed i professionisti </w:t>
      </w:r>
    </w:p>
    <w:p w:rsidR="00000000" w:rsidDel="00000000" w:rsidP="00000000" w:rsidRDefault="00000000" w:rsidRPr="00000000" w14:paraId="0000002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TITOLO II</w:t>
      </w:r>
    </w:p>
    <w:p w:rsidR="00000000" w:rsidDel="00000000" w:rsidP="00000000" w:rsidRDefault="00000000" w:rsidRPr="00000000" w14:paraId="0000002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Disposizioni in materia di giochi </w:t>
      </w:r>
    </w:p>
    <w:p w:rsidR="00000000" w:rsidDel="00000000" w:rsidP="00000000" w:rsidRDefault="00000000" w:rsidRPr="00000000" w14:paraId="00000025">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25 – Proroga gare scommesse e Bingo </w:t>
      </w:r>
    </w:p>
    <w:p w:rsidR="00000000" w:rsidDel="00000000" w:rsidP="00000000" w:rsidRDefault="00000000" w:rsidRPr="00000000" w14:paraId="0000002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26 – Termine per la sostituzione degli apparecchi da gioco</w:t>
      </w:r>
    </w:p>
    <w:p w:rsidR="00000000" w:rsidDel="00000000" w:rsidP="00000000" w:rsidRDefault="00000000" w:rsidRPr="00000000" w14:paraId="0000002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27 – Prelievo sulle vincite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28 – Registro unico degli operatori del gioco pubblico</w:t>
      </w:r>
    </w:p>
    <w:p w:rsidR="00000000" w:rsidDel="00000000" w:rsidP="00000000" w:rsidRDefault="00000000" w:rsidRPr="00000000" w14:paraId="0000002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29 – Blocco dei pagamenti a soggetti senza concessione</w:t>
      </w:r>
    </w:p>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30 – Agente sotto copertura </w:t>
      </w:r>
    </w:p>
    <w:p w:rsidR="00000000" w:rsidDel="00000000" w:rsidP="00000000" w:rsidRDefault="00000000" w:rsidRPr="00000000" w14:paraId="0000002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31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Disposizioni relative all’articolo 24 del decreto-legge n. 98 del 2011</w:t>
      </w:r>
    </w:p>
    <w:p w:rsidR="00000000" w:rsidDel="00000000" w:rsidP="00000000" w:rsidRDefault="00000000" w:rsidRPr="00000000" w14:paraId="0000002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32 – Omesso versamento dell’imposta unica </w:t>
      </w:r>
    </w:p>
    <w:p w:rsidR="00000000" w:rsidDel="00000000" w:rsidP="00000000" w:rsidRDefault="00000000" w:rsidRPr="00000000" w14:paraId="0000002E">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TITOLO III</w:t>
      </w:r>
    </w:p>
    <w:p w:rsidR="00000000" w:rsidDel="00000000" w:rsidP="00000000" w:rsidRDefault="00000000" w:rsidRPr="00000000" w14:paraId="0000003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Ulteriori disposizioni fiscali</w:t>
      </w:r>
    </w:p>
    <w:p w:rsidR="00000000" w:rsidDel="00000000" w:rsidP="00000000" w:rsidRDefault="00000000" w:rsidRPr="00000000" w14:paraId="0000003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33 – Adeguamento a sentenza della Corte di Giustizia UE </w:t>
      </w:r>
    </w:p>
    <w:p w:rsidR="00000000" w:rsidDel="00000000" w:rsidP="00000000" w:rsidRDefault="00000000" w:rsidRPr="00000000" w14:paraId="00000033">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34 – Sospensione adempimenti connessi ad eventi sismici</w:t>
      </w:r>
    </w:p>
    <w:p w:rsidR="00000000" w:rsidDel="00000000" w:rsidP="00000000" w:rsidRDefault="00000000" w:rsidRPr="00000000" w14:paraId="00000034">
      <w:pPr>
        <w:spacing w:after="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35 – Compartecipazione comunale al gettito accertato</w:t>
      </w:r>
    </w:p>
    <w:p w:rsidR="00000000" w:rsidDel="00000000" w:rsidP="00000000" w:rsidRDefault="00000000" w:rsidRPr="00000000" w14:paraId="00000035">
      <w:pPr>
        <w:spacing w:after="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36 – Modifiche all’articolo 96 TUIR  </w:t>
      </w:r>
    </w:p>
    <w:p w:rsidR="00000000" w:rsidDel="00000000" w:rsidP="00000000" w:rsidRDefault="00000000" w:rsidRPr="00000000" w14:paraId="00000036">
      <w:pPr>
        <w:spacing w:after="0" w:lineRule="auto"/>
        <w:ind w:left="567" w:hanging="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Art. 37 – Incentivi Conto Energia</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037">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38 – Imposta sui servizi digitali</w:t>
      </w:r>
    </w:p>
    <w:p w:rsidR="00000000" w:rsidDel="00000000" w:rsidP="00000000" w:rsidRDefault="00000000" w:rsidRPr="00000000" w14:paraId="0000003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TITOLO IV</w:t>
      </w:r>
    </w:p>
    <w:p w:rsidR="00000000" w:rsidDel="00000000" w:rsidP="00000000" w:rsidRDefault="00000000" w:rsidRPr="00000000" w14:paraId="0000003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Ulteriori disposizioni per esigenze indifferibili</w:t>
      </w:r>
    </w:p>
    <w:p w:rsidR="00000000" w:rsidDel="00000000" w:rsidP="00000000" w:rsidRDefault="00000000" w:rsidRPr="00000000" w14:paraId="0000003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39 - Ferrovie dello Stato</w:t>
      </w:r>
    </w:p>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40 – Fondo di garanzia PMI</w:t>
      </w:r>
    </w:p>
    <w:p w:rsidR="00000000" w:rsidDel="00000000" w:rsidP="00000000" w:rsidRDefault="00000000" w:rsidRPr="00000000" w14:paraId="0000003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41 – Fusioni comuni</w:t>
      </w:r>
    </w:p>
    <w:p w:rsidR="00000000" w:rsidDel="00000000" w:rsidP="00000000" w:rsidRDefault="00000000" w:rsidRPr="00000000" w14:paraId="0000003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42 – Affitti passivi PA </w:t>
      </w:r>
    </w:p>
    <w:p w:rsidR="00000000" w:rsidDel="00000000" w:rsidP="00000000" w:rsidRDefault="00000000" w:rsidRPr="00000000" w14:paraId="0000004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43 – Abrogazione dell’articolo 6, comma 6-ter, del decreto-legge 13 agosto 2011, n. 138</w:t>
      </w:r>
    </w:p>
    <w:p w:rsidR="00000000" w:rsidDel="00000000" w:rsidP="00000000" w:rsidRDefault="00000000" w:rsidRPr="00000000" w14:paraId="00000041">
      <w:pPr>
        <w:spacing w:after="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44 - Disposizioni in materia di salute</w:t>
      </w:r>
    </w:p>
    <w:p w:rsidR="00000000" w:rsidDel="00000000" w:rsidP="00000000" w:rsidRDefault="00000000" w:rsidRPr="00000000" w14:paraId="00000042">
      <w:pPr>
        <w:spacing w:after="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45 – Disposizioni in materia di fiscalità regionale</w:t>
      </w:r>
    </w:p>
    <w:p w:rsidR="00000000" w:rsidDel="00000000" w:rsidP="00000000" w:rsidRDefault="00000000" w:rsidRPr="00000000" w14:paraId="0000004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46 – Disposizioni sul trasporto pubblico locale</w:t>
      </w:r>
    </w:p>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47 - Soppressione rendicontazione dei comuni</w:t>
      </w:r>
    </w:p>
    <w:p w:rsidR="00000000" w:rsidDel="00000000" w:rsidP="00000000" w:rsidRDefault="00000000" w:rsidRPr="00000000" w14:paraId="00000045">
      <w:pPr>
        <w:spacing w:after="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48 - Assegnazione di risorse per investimenti </w:t>
      </w:r>
    </w:p>
    <w:p w:rsidR="00000000" w:rsidDel="00000000" w:rsidP="00000000" w:rsidRDefault="00000000" w:rsidRPr="00000000" w14:paraId="00000046">
      <w:pPr>
        <w:spacing w:after="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49 - Disposizioni in materia di tempi di pagamento dei debiti commerciali della PA</w:t>
      </w:r>
    </w:p>
    <w:p w:rsidR="00000000" w:rsidDel="00000000" w:rsidP="00000000" w:rsidRDefault="00000000" w:rsidRPr="00000000" w14:paraId="0000004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50 – Attività informatiche in favore di organismi pubblici</w:t>
      </w:r>
    </w:p>
    <w:p w:rsidR="00000000" w:rsidDel="00000000" w:rsidP="00000000" w:rsidRDefault="00000000" w:rsidRPr="00000000" w14:paraId="0000004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51- Incentivi per l'acquisto dei dispositivi antiabbandono</w:t>
      </w:r>
    </w:p>
    <w:p w:rsidR="00000000" w:rsidDel="00000000" w:rsidP="00000000" w:rsidRDefault="00000000" w:rsidRPr="00000000" w14:paraId="0000004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52 – Disposizioni in materia di autotrasporto</w:t>
      </w:r>
    </w:p>
    <w:p w:rsidR="00000000" w:rsidDel="00000000" w:rsidP="00000000" w:rsidRDefault="00000000" w:rsidRPr="00000000" w14:paraId="0000004A">
      <w:pPr>
        <w:spacing w:after="0" w:lineRule="auto"/>
        <w:ind w:left="567" w:hanging="567"/>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Art. 53 - Modifiche al decreto legislativo 8 giugno 2001, n. 231</w:t>
      </w:r>
    </w:p>
    <w:p w:rsidR="00000000" w:rsidDel="00000000" w:rsidP="00000000" w:rsidRDefault="00000000" w:rsidRPr="00000000" w14:paraId="0000004B">
      <w:pPr>
        <w:spacing w:after="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Art. 54 - Modifiche al decreto legislativo 10 marzo 2000, n. 74 </w:t>
      </w:r>
      <w:r w:rsidDel="00000000" w:rsidR="00000000" w:rsidRPr="00000000">
        <w:rPr>
          <w:rtl w:val="0"/>
        </w:rPr>
      </w:r>
    </w:p>
    <w:p w:rsidR="00000000" w:rsidDel="00000000" w:rsidP="00000000" w:rsidRDefault="00000000" w:rsidRPr="00000000" w14:paraId="0000004C">
      <w:pPr>
        <w:spacing w:after="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55 – Disposizioni finanziarie</w:t>
      </w:r>
    </w:p>
    <w:p w:rsidR="00000000" w:rsidDel="00000000" w:rsidP="00000000" w:rsidRDefault="00000000" w:rsidRPr="00000000" w14:paraId="0000004D">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PRESIDENTE DELLA REPUBBLICA</w:t>
      </w:r>
    </w:p>
    <w:p w:rsidR="00000000" w:rsidDel="00000000" w:rsidP="00000000" w:rsidRDefault="00000000" w:rsidRPr="00000000" w14:paraId="00000050">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VISTI gli articoli 77 e 87 della Costituzione; </w:t>
      </w:r>
    </w:p>
    <w:p w:rsidR="00000000" w:rsidDel="00000000" w:rsidP="00000000" w:rsidRDefault="00000000" w:rsidRPr="00000000" w14:paraId="00000052">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RITENUTA la straordinaria necessità ed urgenza di prevedere disposizioni in materia finanziaria e ………; </w:t>
      </w:r>
    </w:p>
    <w:p w:rsidR="00000000" w:rsidDel="00000000" w:rsidP="00000000" w:rsidRDefault="00000000" w:rsidRPr="00000000" w14:paraId="00000053">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Ritenuta la straordinaria necessità ed urgenza di prevedere misure per …………; </w:t>
      </w:r>
    </w:p>
    <w:p w:rsidR="00000000" w:rsidDel="00000000" w:rsidP="00000000" w:rsidRDefault="00000000" w:rsidRPr="00000000" w14:paraId="00000054">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VISTA la deliberazione del Consiglio dei ministri, adottata nella riunione del […];</w:t>
      </w:r>
    </w:p>
    <w:p w:rsidR="00000000" w:rsidDel="00000000" w:rsidP="00000000" w:rsidRDefault="00000000" w:rsidRPr="00000000" w14:paraId="00000055">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proposta del Presidente del Consiglio dei ministri e dei Ministri dell’economia e delle finanze e ……, di concerto con………; </w:t>
      </w:r>
    </w:p>
    <w:p w:rsidR="00000000" w:rsidDel="00000000" w:rsidP="00000000" w:rsidRDefault="00000000" w:rsidRPr="00000000" w14:paraId="0000005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EMANA</w:t>
      </w:r>
    </w:p>
    <w:p w:rsidR="00000000" w:rsidDel="00000000" w:rsidP="00000000" w:rsidRDefault="00000000" w:rsidRPr="00000000" w14:paraId="0000005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seguente decreto-legge:</w:t>
      </w:r>
    </w:p>
    <w:p w:rsidR="00000000" w:rsidDel="00000000" w:rsidP="00000000" w:rsidRDefault="00000000" w:rsidRPr="00000000" w14:paraId="0000005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TITOLO I </w:t>
      </w:r>
    </w:p>
    <w:p w:rsidR="00000000" w:rsidDel="00000000" w:rsidP="00000000" w:rsidRDefault="00000000" w:rsidRPr="00000000" w14:paraId="0000005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Misure di contrasto all’evasione fiscale e contributiva ed alle frodi fiscali</w:t>
      </w:r>
    </w:p>
    <w:p w:rsidR="00000000" w:rsidDel="00000000" w:rsidP="00000000" w:rsidRDefault="00000000" w:rsidRPr="00000000" w14:paraId="0000005C">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w:t>
      </w:r>
    </w:p>
    <w:p w:rsidR="00000000" w:rsidDel="00000000" w:rsidP="00000000" w:rsidRDefault="00000000" w:rsidRPr="00000000" w14:paraId="0000005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Accollo del debito d’imposta altrui e divieto di compensazione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0">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Chiunque, ai sensi dell’articolo 8, comma 2, della legge 27 luglio 2000, n. 212, si accolli il debito d’imposta altrui, procede al relativo pagamento secondo le modalità previste dalle diverse disposizioni normative vigenti.</w:t>
      </w:r>
    </w:p>
    <w:p w:rsidR="00000000" w:rsidDel="00000000" w:rsidP="00000000" w:rsidRDefault="00000000" w:rsidRPr="00000000" w14:paraId="00000062">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Per il pagamento, in ogni caso, è escluso l’utilizzo in compensazione di crediti dell’accollante. </w:t>
      </w:r>
    </w:p>
    <w:p w:rsidR="00000000" w:rsidDel="00000000" w:rsidP="00000000" w:rsidRDefault="00000000" w:rsidRPr="00000000" w14:paraId="00000063">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I versamenti in violazione del comma 2 si considerano come non avvenuti a tutti gli effetti di legge. In tale eventualità, ferme restando le ulteriori conseguenze previste dalle disposizioni normative vigenti, si applicano le sanzioni di cui all’articolo 13 del decreto legislativo 18 dicembre 1997, n. 471.</w:t>
      </w:r>
    </w:p>
    <w:p w:rsidR="00000000" w:rsidDel="00000000" w:rsidP="00000000" w:rsidRDefault="00000000" w:rsidRPr="00000000" w14:paraId="00000064">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Con atti di recupero da notificare, a pena di decadenza, entro il 31 dicembre dell’ottavo anno successivo a quello in cui è stata presentata la delega di pagamento, sono irrogate:</w:t>
      </w:r>
    </w:p>
    <w:p w:rsidR="00000000" w:rsidDel="00000000" w:rsidP="00000000" w:rsidRDefault="00000000" w:rsidRPr="00000000" w14:paraId="00000065">
      <w:pPr>
        <w:spacing w:after="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all’accollante le sanzioni dei cui all’articolo 13, commi 4 o 5, del decreto legislativo 18 dicembre 1997, n. 471;</w:t>
      </w:r>
    </w:p>
    <w:p w:rsidR="00000000" w:rsidDel="00000000" w:rsidP="00000000" w:rsidRDefault="00000000" w:rsidRPr="00000000" w14:paraId="00000066">
      <w:pPr>
        <w:spacing w:after="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all’accollato la sanzione di cui all’articolo 13, comma 1, del decreto legislativo 18 dicembre 1997, n. 471, recuperando l’importo di cui al comma 3 e i relativi interessi. Per l’importo di cui al comma 3 e per gli interessi l’accollante è coobbligato in solido.</w:t>
      </w:r>
    </w:p>
    <w:p w:rsidR="00000000" w:rsidDel="00000000" w:rsidP="00000000" w:rsidRDefault="00000000" w:rsidRPr="00000000" w14:paraId="00000067">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Con provvedimento del Direttore dell’Agenzia delle entrate sono emanate le ulteriori disposizioni necessarie per attuare il presente articolo.</w:t>
      </w:r>
    </w:p>
    <w:p w:rsidR="00000000" w:rsidDel="00000000" w:rsidP="00000000" w:rsidRDefault="00000000" w:rsidRPr="00000000" w14:paraId="00000068">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06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è volta a regolare la figura dell’accollo del debito d’imposta altrui prevista dall’articolo 8, comma 2, della legge 27 luglio 2000, n. 212.</w:t>
      </w:r>
    </w:p>
    <w:p w:rsidR="00000000" w:rsidDel="00000000" w:rsidP="00000000" w:rsidRDefault="00000000" w:rsidRPr="00000000" w14:paraId="0000006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ferma la possibilità di accollo e di versamento secondo le modalità imposte da specifiche disposizioni di legge (comma 1), onde prevenire comportamenti fraudolenti, la disposizione chiarisce che per il pagamento non è consentita la spendita di alcun credito dell’accollante, negando qualunque forma di compensazione ad opera di tale soggetto (comma 2).</w:t>
      </w:r>
    </w:p>
    <w:p w:rsidR="00000000" w:rsidDel="00000000" w:rsidP="00000000" w:rsidRDefault="00000000" w:rsidRPr="00000000" w14:paraId="0000006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Viene, inoltre, specificato che i versamenti disposti in spregio della previsione normativa si considerano come non avvenuti a tutti gli effetti di legge, generando le conseguenti sanzioni in capo ai soggetti coinvolti (comma 3). I relativi atti di recupero delle sanzioni, dell’imposta non versata e dei relativi interessi potranno essere notificati entro il 31 dicembre dell’ottavo anno successivo a quello della presentazione della delega di pagamento (comma 4). Si dispone che l’accollante sia coobbligato in solido con l’accollato per l’imposta e gli interessi.</w:t>
      </w:r>
    </w:p>
    <w:p w:rsidR="00000000" w:rsidDel="00000000" w:rsidP="00000000" w:rsidRDefault="00000000" w:rsidRPr="00000000" w14:paraId="0000006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06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misure proposte sono volte a combattere le frodi, a danno dell’Erario, nell’ambito dell’istituto dell’accollo del debito d’imposta altrui, disciplinato dall’articolo 8, comma 2, della legge 27 luglio 2000, n. 212, vietando pagamenti tramite compensazione.</w:t>
      </w:r>
    </w:p>
    <w:p w:rsidR="00000000" w:rsidDel="00000000" w:rsidP="00000000" w:rsidRDefault="00000000" w:rsidRPr="00000000" w14:paraId="0000007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merito, fatte salve possibili incertezze legate alle concrete modalità dell’accollo – la cui individuazione è tutt’ora demandata all’apposito decreto del Ministro delle finanze previsto dall’articolo 8, comma 6, della legge n. 212 del 2000 – dal punto di vista dell’impatto finanziario non emerge alcun effetto negativo in termini di saldi di finanza pubblica.</w:t>
      </w:r>
    </w:p>
    <w:p w:rsidR="00000000" w:rsidDel="00000000" w:rsidP="00000000" w:rsidRDefault="00000000" w:rsidRPr="00000000" w14:paraId="0000007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precipua attività di indagine dell’Agenzia delle entrate ha avuto ad oggetto una preventiva analisi selettiva finalizzata </w:t>
      </w:r>
      <w:r w:rsidDel="00000000" w:rsidR="00000000" w:rsidRPr="00000000">
        <w:rPr>
          <w:rFonts w:ascii="Times New Roman" w:cs="Times New Roman" w:eastAsia="Times New Roman" w:hAnsi="Times New Roman"/>
          <w:i w:val="1"/>
          <w:sz w:val="24"/>
          <w:szCs w:val="24"/>
          <w:rtl w:val="0"/>
        </w:rPr>
        <w:t xml:space="preserve">in primis</w:t>
      </w:r>
      <w:r w:rsidDel="00000000" w:rsidR="00000000" w:rsidRPr="00000000">
        <w:rPr>
          <w:rFonts w:ascii="Times New Roman" w:cs="Times New Roman" w:eastAsia="Times New Roman" w:hAnsi="Times New Roman"/>
          <w:sz w:val="24"/>
          <w:szCs w:val="24"/>
          <w:rtl w:val="0"/>
        </w:rPr>
        <w:t xml:space="preserve"> ad individuare, tramite l’esame massivo dei modelli di versamento F24, i soggetti che hanno fatto ricorso all’istituto dell’accollo. Ai fini della stima occorre considerare, prudenzialmente, i soli soggetti che risultano aver effettuato compensazioni per importi superiori a € 200.000 annui. Il totale dei crediti indebitamente utilizzati mediante l’istituto dell’accollo tributario nel 2018 è risultato pari a € 351. Tuttavia, occorre tener conto anche della stima già effettuata in relazione alla disposizione di cui all’articolo 1 comma 990 della legge n. 205/2017 (legge di bilancio 2018) in tema di sospensione delle deleghe di pagamento a mezzo F24 (controllo preventivo), cui sono stati ascritti effetti connessi alla sospensione a monte delle compensazioni in relazione al fenomeno dell’accollo di debiti altrui per un ammontare di € 63 mln. Pertanto, gli effetti finanziari connessi a tale disposizione possono essere stimati in €288 mln.</w:t>
      </w:r>
    </w:p>
    <w:p w:rsidR="00000000" w:rsidDel="00000000" w:rsidP="00000000" w:rsidRDefault="00000000" w:rsidRPr="00000000" w14:paraId="0000007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w:t>
      </w:r>
    </w:p>
    <w:p w:rsidR="00000000" w:rsidDel="00000000" w:rsidP="00000000" w:rsidRDefault="00000000" w:rsidRPr="00000000" w14:paraId="0000007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Cessazione partita IVA ed inibizione compensazione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5">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17 del decreto legislativo 9 luglio 1997, n. 241, dopo il comma 2-ter sono inseriti i seguenti: “2-quater. In deroga alle previsioni di cui all’articolo 8, comma 1, della legge 27 luglio 2000, n. 212, per i contribuenti a cui sia stato notificato provvedimento di cessazione della partita IVA, ai sensi dell’articolo 35, comma 15-bis, del decreto del Presidente della Repubblica 26 ottobre 1972, n. 633, è esclusa la facoltà di avvalersi, a partire dalla data di notifica del provvedimento, della compensazione dei crediti, ai sensi del comma 1 del presente articolo; detta esclusione opera a prescindere dalla tipologia e dall’importo dei crediti, anche qualora questi ultimi non siano maturati con riferimento all’attività esercitata con la partita IVA oggetto del provvedimento, e rimane in vigore fino a quando la partita IVA risulti cessata.</w:t>
      </w:r>
    </w:p>
    <w:p w:rsidR="00000000" w:rsidDel="00000000" w:rsidP="00000000" w:rsidRDefault="00000000" w:rsidRPr="00000000" w14:paraId="0000007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2-quinquies. In deroga alle previsioni di cui all’articolo 8, comma 1, della legge 27 luglio 2000, n. 212, per i contribuenti a cui sia stato notificato provvedimento di esclusione della partita IVA dalla banca dati dei soggetti passivi che effettuano operazioni intracomunitarie, ai sensi dell’articolo 35, comma 15-bis, del decreto del Presidente della Repubblica 26 ottobre 1972, n. 633, è esclusa la facoltà di avvalersi, a partire dalla data di notifica del provvedimento, della compensazione dei crediti IVA, ai sensi del comma 1 del presente articolo; detta esclusione rimane in vigore fino a quando non siano rimosse le irregolarità che hanno generato l’emissione del provvedimento di esclusione.</w:t>
      </w:r>
    </w:p>
    <w:p w:rsidR="00000000" w:rsidDel="00000000" w:rsidP="00000000" w:rsidRDefault="00000000" w:rsidRPr="00000000" w14:paraId="0000007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2-sexies. Nel caso di utilizzo in compensazione di crediti in violazione di quanto previsto dai commi 2-quater e 2-quinquies, il modello F24 è scartato. Lo scarto è comunicato tramite i servizi telematici dell’Agenzia delle entrate al soggetto che ha trasmesso il modello F24, mediante apposita ricevuta.”.</w:t>
      </w:r>
    </w:p>
    <w:p w:rsidR="00000000" w:rsidDel="00000000" w:rsidP="00000000" w:rsidRDefault="00000000" w:rsidRPr="00000000" w14:paraId="0000007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07B">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proposta normativa in commento si pone nell’ambito delle attività di contrasto agli indebiti utilizzi di crediti da parte di soggetti titolari di partita IVA, destinatari dei provvedimenti di cessazione della partita IVA ovvero di esclusione dalla banca dati prevista dall’articolo 17 del Regolamento (UE) n. 904/2010 del Consiglio del 7 ottobre 2010.</w:t>
      </w:r>
    </w:p>
    <w:p w:rsidR="00000000" w:rsidDel="00000000" w:rsidP="00000000" w:rsidRDefault="00000000" w:rsidRPr="00000000" w14:paraId="0000007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partire dalla data di notifica del provvedimento, ed a seconda della tipologia dello stesso, a detti contribuenti è inibita la possibilità di utilizzare in compensazione nel modello F24 i crediti, tributari e non, indipendentemente dal settore impositivo e dall’importo, ovvero esclusivamente riferiti all’IVA, fino a quando permangono le circostanze che hanno determinato l’emissione del provvedimento. </w:t>
      </w:r>
    </w:p>
    <w:p w:rsidR="00000000" w:rsidDel="00000000" w:rsidP="00000000" w:rsidRDefault="00000000" w:rsidRPr="00000000" w14:paraId="0000007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predetti crediti possono pertanto essere esclusivamente oggetto di richiesta di rimborso da parte del contribuente nel rispetto delle disposizioni normative vigenti, quali l’articolo 38 del decreto del Presidente della Repubblica 29 settembre 1973, n. 602, e l’articolo 30 del decreto del Presidente della Repubblica 26 ottobre 1972, n. 633, ovvero essere riportati quale eccedenza pregressa nella rispettiva dichiarazione successiva, con ciò consentendo un più efficace presidio da parte dell’Amministrazione finanziaria, motivato in ragione dei rilevanti profili di frode che hanno determinato l’adozione dei provvedimenti di cui all’articolo 35, comma 15-bis, del decreto del Presidente della Repubblica n. 633/1972.</w:t>
      </w:r>
    </w:p>
    <w:p w:rsidR="00000000" w:rsidDel="00000000" w:rsidP="00000000" w:rsidRDefault="00000000" w:rsidRPr="00000000" w14:paraId="0000007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questo proposito, si rappresenta che l’estensione, in ipotesi di cessazione della partita IVA, della disposizione in commento a tutti i crediti asseritamente vantati dal contribuente, appare proporzionata in ragione dei destinatari del provvedimento de quo, caratterizzati dall’insussistenza dei requisiti soggettivi e/o oggettivi previsti dal decreto del Presidente della Repubblica n. 633/1972; se, al contrario, il contribuente risulta esclusivamente coinvolto in una frode all’IVA, che legittimi l’adozione del provvedimento di esclusione dalla banca dati VIES, si ritiene proporzionato il presidio specificamente predisposto limitatamente a detto tributo.</w:t>
      </w:r>
    </w:p>
    <w:p w:rsidR="00000000" w:rsidDel="00000000" w:rsidP="00000000" w:rsidRDefault="00000000" w:rsidRPr="00000000" w14:paraId="0000008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effetto dello scarto della delega di pagamento, tutti i versamenti e le compensazioni contenuti nel modello F24 si considerano non eseguiti. Il contribuente, in tale ipotesi, è tenuto al versamento degli importi a debito indicati nella delega di pagamento oggetto di scarto, ferma restando l’irrogabilità delle sanzioni amministrative previste dall’articolo 13, comma 1, del decreto legislativo 18 dicembre 1997, n. 471, in caso di mancato pagamento entro le ordinarie scadenze di legge.</w:t>
      </w:r>
    </w:p>
    <w:p w:rsidR="00000000" w:rsidDel="00000000" w:rsidP="00000000" w:rsidRDefault="00000000" w:rsidRPr="00000000" w14:paraId="0000008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w:t>
      </w:r>
    </w:p>
    <w:p w:rsidR="00000000" w:rsidDel="00000000" w:rsidP="00000000" w:rsidRDefault="00000000" w:rsidRPr="00000000" w14:paraId="0000008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Contrasto alle indebite compensazioni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4">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17, comma 1, del decreto legislativo 9 luglio 1997, n. 241, l’ultimo periodo è sostituito dal seguente: “La compensazione del credito annuale o relativo a periodi inferiori all’anno dell’imposta sul valore aggiunto, dei crediti relativi alle imposte sui redditi e alle relative addizionali, alle imposte sostitutive delle imposte sui redditi e all'imposta regionale sulle attività produttive, per importi superiori a 5.000 euro annui, può essere effettuata a partire dal decimo giorno successivo a quello di presentazione della dichiarazione o dell’istanza da cui il credito emerge.”.</w:t>
      </w:r>
    </w:p>
    <w:p w:rsidR="00000000" w:rsidDel="00000000" w:rsidP="00000000" w:rsidRDefault="00000000" w:rsidRPr="00000000" w14:paraId="0000008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All'articolo 37, comma 49-bis, del decreto-legge 4 luglio 2006, n. 223, convertito, con modificazioni, dalla legge 4 agosto 2006, n. 248:</w:t>
      </w:r>
    </w:p>
    <w:p w:rsidR="00000000" w:rsidDel="00000000" w:rsidP="00000000" w:rsidRDefault="00000000" w:rsidRPr="00000000" w14:paraId="00000087">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 parole “di cui al comma 49,” e le parole “ritenute alla fonte,” sono soppresse;</w:t>
      </w:r>
    </w:p>
    <w:p w:rsidR="00000000" w:rsidDel="00000000" w:rsidP="00000000" w:rsidRDefault="00000000" w:rsidRPr="00000000" w14:paraId="00000088">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dopo le parole “attività produttive” sono inserite le seguenti “, ovvero dei crediti maturati in qualità di sostituto d’imposta”.</w:t>
      </w:r>
    </w:p>
    <w:p w:rsidR="00000000" w:rsidDel="00000000" w:rsidP="00000000" w:rsidRDefault="00000000" w:rsidRPr="00000000" w14:paraId="0000008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Le disposizioni dei commi 1 e 2 si applicano con riferimento ai crediti maturati a decorrere dal periodo d’imposta in corso al 31 dicembre 2019.</w:t>
      </w:r>
    </w:p>
    <w:p w:rsidR="00000000" w:rsidDel="00000000" w:rsidP="00000000" w:rsidRDefault="00000000" w:rsidRPr="00000000" w14:paraId="0000008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L’Agenzia delle entrate, l’Istituto nazionale previdenza sociale e l’Istituto nazionale per l'assicurazione contro gli infortuni sul lavoro, definiscono procedure di cooperazione rafforzata finalizzate al contrasto delle indebite compensazioni di crediti effettuate ai sensi dell’articolo 17 del decreto legislativo 9 luglio 1997, n. 241. Nell’ambito di tali procedure, i suddetti Istituti possono inviare all’Agenzia delle entrate segnalazioni qualificate relative a compensazioni di crediti effettuate ai fini del pagamento delle entrate di rispettiva pertinenza, che presentano profili di rischio, ai fini del recupero del credito indebitamente compensato. Le procedure di cui al primo periodo e ogni altra disposizione di attuazione del presente comma sono definite con provvedimenti adottati d’intesa dal Direttore dell’Agenzia delle entrate e dai Presidenti dei suddetti Istituti.</w:t>
      </w:r>
    </w:p>
    <w:p w:rsidR="00000000" w:rsidDel="00000000" w:rsidP="00000000" w:rsidRDefault="00000000" w:rsidRPr="00000000" w14:paraId="0000008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All'articolo 37 del decreto-legge 4 luglio 2006, n. 223, convertito, con modificazioni, dalla legge 4 agosto 2006, n. 248, dopo il comma 49-ter è inserito il seguente: “49-quater. Qualora in esito all’attività di controllo di cui al comma 49-ter i crediti indicati nelle deleghe di pagamento presentate ai sensi degli articoli 17 e seguenti del decreto legislativo 9 luglio 1997, n. 241, si rivelino in tutto o in parte non utilizzabili in compensazione, l’Agenzia delle entrate comunica telematicamente la mancata esecuzione della delega di pagamento al soggetto che ha trasmesso la delega stessa entro il termine indicato al medesimo comma 49-ter.  Con comunicazione da inviare al contribuente è applicata la sanzione di cui all’articolo 15, comma 2-</w:t>
      </w:r>
      <w:r w:rsidDel="00000000" w:rsidR="00000000" w:rsidRPr="00000000">
        <w:rPr>
          <w:rFonts w:ascii="Times New Roman" w:cs="Times New Roman" w:eastAsia="Times New Roman" w:hAnsi="Times New Roman"/>
          <w:i w:val="1"/>
          <w:sz w:val="24"/>
          <w:szCs w:val="24"/>
          <w:rtl w:val="0"/>
        </w:rPr>
        <w:t xml:space="preserve">ter</w:t>
      </w:r>
      <w:r w:rsidDel="00000000" w:rsidR="00000000" w:rsidRPr="00000000">
        <w:rPr>
          <w:rFonts w:ascii="Times New Roman" w:cs="Times New Roman" w:eastAsia="Times New Roman" w:hAnsi="Times New Roman"/>
          <w:sz w:val="24"/>
          <w:szCs w:val="24"/>
          <w:rtl w:val="0"/>
        </w:rPr>
        <w:t xml:space="preserve"> del decreto legislativo 18 dicembre 1997, n. 471. Qualora a seguito della comunicazione il contribuente, entro i trenta successivi al ricevimento della stessa, rilevi eventuali elementi non considerati o valutati erroneamente, può fornire i chiarimenti necessari all'Agenzia delle entrate. L'iscrizione a ruolo a titolo definitivo della sanzione di cui all’articolo 15, comma 2-</w:t>
      </w:r>
      <w:r w:rsidDel="00000000" w:rsidR="00000000" w:rsidRPr="00000000">
        <w:rPr>
          <w:rFonts w:ascii="Times New Roman" w:cs="Times New Roman" w:eastAsia="Times New Roman" w:hAnsi="Times New Roman"/>
          <w:i w:val="1"/>
          <w:sz w:val="24"/>
          <w:szCs w:val="24"/>
          <w:rtl w:val="0"/>
        </w:rPr>
        <w:t xml:space="preserve">ter</w:t>
      </w:r>
      <w:r w:rsidDel="00000000" w:rsidR="00000000" w:rsidRPr="00000000">
        <w:rPr>
          <w:rFonts w:ascii="Times New Roman" w:cs="Times New Roman" w:eastAsia="Times New Roman" w:hAnsi="Times New Roman"/>
          <w:sz w:val="24"/>
          <w:szCs w:val="24"/>
          <w:rtl w:val="0"/>
        </w:rPr>
        <w:t xml:space="preserve"> del decreto legislativo 18 dicembre 1997, n. 471, non è eseguita se il contribuente provvede a pagare la somma dovuta con le modalità indicate nell'articolo 19 del decreto legislativo 9 luglio 1997, n. 241, entro trenta giorni dal ricevimento della comunicazione. L’agente della riscossione notifica la cartella di pagamento al debitore iscritto a ruolo entro il 31 dicembre del terzo anno successivo a quello di presentazione della delega di pagamento. Le disposizioni di attuazione del presente comma sono definite con provvedimento adottato dal Direttore dell’Agenzia delle entrate.”.</w:t>
      </w:r>
    </w:p>
    <w:p w:rsidR="00000000" w:rsidDel="00000000" w:rsidP="00000000" w:rsidRDefault="00000000" w:rsidRPr="00000000" w14:paraId="0000008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All’articolo 15 del decreto legislativo 18 dicembre 1997, n. 471, dopo il comma 2-bis è aggiunto il seguente: “2-ter. Nel caso di mancata esecuzione delle deleghe di pagamento per effetto dell’attività di controllo di cui all’articolo 49-ter del decreto-legge 4 luglio 2006, n. 223, convertito, con modificazioni, dalla legge 4 agosto 2006, n. 248, si applica la sanzione di euro 1000 per ciascuna delega non eseguita. Non si applica l'articolo 12 del decreto legislativo 18 dicembre 1997, n. 472.”.</w:t>
      </w:r>
    </w:p>
    <w:p w:rsidR="00000000" w:rsidDel="00000000" w:rsidP="00000000" w:rsidRDefault="00000000" w:rsidRPr="00000000" w14:paraId="0000008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All'attuazione delle disposizioni del presente articolo si provvede con le risorse umane, strumentali e finanziarie disponibili a legislazione vigente, senza nuovi o maggiori oneri per la finanza pubblica.</w:t>
      </w:r>
    </w:p>
    <w:p w:rsidR="00000000" w:rsidDel="00000000" w:rsidP="00000000" w:rsidRDefault="00000000" w:rsidRPr="00000000" w14:paraId="0000008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Le disposizioni di cui ai commi 5 e 6 si applicano alle deleghe di pagamento presentate a partire dal mese di marzo 2020. </w:t>
      </w:r>
    </w:p>
    <w:p w:rsidR="00000000" w:rsidDel="00000000" w:rsidP="00000000" w:rsidRDefault="00000000" w:rsidRPr="00000000" w14:paraId="0000008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09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proposta normativa intende rafforzare e ampliare gli strumenti attualmente a disposizione per il contrasto delle indebite compensazioni di crediti effettuate tramite modello F24, ai fini del pagamento di tributi e contributi.</w:t>
      </w:r>
    </w:p>
    <w:p w:rsidR="00000000" w:rsidDel="00000000" w:rsidP="00000000" w:rsidRDefault="00000000" w:rsidRPr="00000000" w14:paraId="0000009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Infatti, l’esperienza acquisita in esito all’attività di controllo svolta nel recente passato ha evidenziato diverse opportunità di miglioramento, che di seguito si illustrano.</w:t>
      </w:r>
    </w:p>
    <w:p w:rsidR="00000000" w:rsidDel="00000000" w:rsidP="00000000" w:rsidRDefault="00000000" w:rsidRPr="00000000" w14:paraId="000000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primi tre commi modificano i </w:t>
      </w:r>
      <w:r w:rsidDel="00000000" w:rsidR="00000000" w:rsidRPr="00000000">
        <w:rPr>
          <w:rFonts w:ascii="Times New Roman" w:cs="Times New Roman" w:eastAsia="Times New Roman" w:hAnsi="Times New Roman"/>
          <w:b w:val="1"/>
          <w:sz w:val="24"/>
          <w:szCs w:val="24"/>
          <w:rtl w:val="0"/>
        </w:rPr>
        <w:t xml:space="preserve">presupposti per l’utilizzo in compensazione dei crediti d’imposta </w:t>
      </w:r>
      <w:r w:rsidDel="00000000" w:rsidR="00000000" w:rsidRPr="00000000">
        <w:rPr>
          <w:rFonts w:ascii="Times New Roman" w:cs="Times New Roman" w:eastAsia="Times New Roman" w:hAnsi="Times New Roman"/>
          <w:sz w:val="24"/>
          <w:szCs w:val="24"/>
          <w:rtl w:val="0"/>
        </w:rPr>
        <w:t xml:space="preserve">emergenti dalle dichiarazioni relative alle imposte dirette, allineandoli ai presupposti vigenti per i crediti d’imposta emergenti dalle dichiarazioni IVA e modelli IVA TR.</w:t>
      </w:r>
    </w:p>
    <w:p w:rsidR="00000000" w:rsidDel="00000000" w:rsidP="00000000" w:rsidRDefault="00000000" w:rsidRPr="00000000" w14:paraId="0000009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Tali disposizioni, per contrastare gli abusi, introducono i seguenti requisiti necessari affinché i contribuenti possano utilizzare in compensazione, tramite modello F24, i crediti relativi a imposte dirette e sostitutive:</w:t>
      </w:r>
    </w:p>
    <w:p w:rsidR="00000000" w:rsidDel="00000000" w:rsidP="00000000" w:rsidRDefault="00000000" w:rsidRPr="00000000" w14:paraId="0000009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obbligo di preventiva presentazione della dichiarazione dalla quale emerge il credito, per importi del credito superiori a 5 mila euro annui;</w:t>
      </w:r>
    </w:p>
    <w:p w:rsidR="00000000" w:rsidDel="00000000" w:rsidP="00000000" w:rsidRDefault="00000000" w:rsidRPr="00000000" w14:paraId="0000009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obbligo di presentare il modello F24 esclusivamente attraverso i servizi telematici dell’Agenzia delle Entrate, anche per i soggetti non titolari di partita IVA.</w:t>
      </w:r>
    </w:p>
    <w:p w:rsidR="00000000" w:rsidDel="00000000" w:rsidP="00000000" w:rsidRDefault="00000000" w:rsidRPr="00000000" w14:paraId="0000009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Quest’ultimo requisito </w:t>
      </w:r>
      <w:r w:rsidDel="00000000" w:rsidR="00000000" w:rsidRPr="00000000">
        <w:rPr>
          <w:rFonts w:ascii="Times New Roman" w:cs="Times New Roman" w:eastAsia="Times New Roman" w:hAnsi="Times New Roman"/>
          <w:b w:val="1"/>
          <w:sz w:val="24"/>
          <w:szCs w:val="24"/>
          <w:rtl w:val="0"/>
        </w:rPr>
        <w:t xml:space="preserve">si applica anche alle compensazioni dei crediti effettuate dai sostituti d’imposta per il recupero delle eccedenze di versamento delle ritenute e dei rimborsi/bonus erogati ai dipendenti (es. rimborsi da modello 730 e bonus 80 euro)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Queste misure consentono di effettuare un riscontro preventivo dei dati attestanti l’esistenza del credito prima che questo venga utilizzato in compensazione per il pagamento di altri tributi o contributi. In particolare, consentono all’Agenzia delle entrate, già in fase di elaborazione dei modelli F24 ricevuti, di scartare le deleghe di pagamento nel caso in cui contengano compensazioni di crediti, salvi quelli maturati in qualità di sostituto d’imposta, che non risultano dalle dichiarazioni presentate oppure che risultano da dichiarazioni non dotate del visto di conformità.</w:t>
      </w:r>
    </w:p>
    <w:p w:rsidR="00000000" w:rsidDel="00000000" w:rsidP="00000000" w:rsidRDefault="00000000" w:rsidRPr="00000000" w14:paraId="0000009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questi casi, lo scarto del modello F24 produce l’effetto positivo di evitare il prelievo dalla c.s. 1778 dei fondi corrispondenti ai crediti compensati, necessari per le relative regolazioni contabili; ciò determina una corrispondente e immediata riduzione della spesa per il bilancio dello Stato.</w:t>
      </w:r>
    </w:p>
    <w:p w:rsidR="00000000" w:rsidDel="00000000" w:rsidP="00000000" w:rsidRDefault="00000000" w:rsidRPr="00000000" w14:paraId="0000009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 effetti, invece, non si produrrebbero nell’attuale quadro normativo, che prevede il controllo delle compensazioni successivamente alla presentazione del modello F24 e rende estremamente incerto il recupero delle somme indebitamente compensate (che già hanno prodotto l’effetto di spesa per il bilancio dello Stato nel momento in cui sono avvenute).</w:t>
      </w:r>
    </w:p>
    <w:p w:rsidR="00000000" w:rsidDel="00000000" w:rsidP="00000000" w:rsidRDefault="00000000" w:rsidRPr="00000000" w14:paraId="0000009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nel primo anno di applicazione delle nuove disposizioni (il 2020), a differenza del 2019, i crediti d’imposta di cui trattasi (relativi al periodo d’imposta chiuso al 31 dicembre dell’anno precedente), salvi i crediti maturati in qualità di sostituto d’imposta, potranno essere utilizzati in compensazione non già a partire dal 1° gennaio, bensì dopo la presentazione della relativa dichiarazione e dunque a partire dal mese di maggio.</w:t>
      </w:r>
    </w:p>
    <w:p w:rsidR="00000000" w:rsidDel="00000000" w:rsidP="00000000" w:rsidRDefault="00000000" w:rsidRPr="00000000" w14:paraId="0000009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2020, quindi, le disposizioni di cui trattasi determineranno anche il differimento del termine a decorrere dal quale potranno essere utilizzati i crediti in compensazione e di conseguenza una parte di questi non potrà essere compensata entro la fine dello stesso anno 2020 (per incapienza rispetto ai debiti da pagare tramite compensazione) e slitterà ai primi mesi del 2021. Pertanto, solo per il 2020, si avrà un ulteriore effetto positivo che riduce la spesa per il bilancio dello Stato (c.d. slittamento). Negli esercizi successivi, lo slittamento in avanti per ciascuna annualità sarà annullato dal recupero dei crediti residui dell’anno precedente e quindi, in sostanza, l’effetto slittamento non sarà significativo.</w:t>
      </w:r>
    </w:p>
    <w:p w:rsidR="00000000" w:rsidDel="00000000" w:rsidP="00000000" w:rsidRDefault="00000000" w:rsidRPr="00000000" w14:paraId="0000009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comma 4 prevede che l’Agenzia delle entrate, l’INPS e l’INAIL possano definire procedure di cooperazione rafforzata, allo scopo di agevolare e rendere più efficace e tempestivo il recupero dei crediti indebitamente utilizzati in compensazione tramite modello F24. Nell’ambito di tali procedure, ad esempio, l’INPS e l’INAIL potranno inviare all’Agenzia delle entrate segnalazioni qualificate circa operazioni che presentano profili di rischio, ai fini del recupero del credito indebitamente compensato.</w:t>
      </w:r>
    </w:p>
    <w:p w:rsidR="00000000" w:rsidDel="00000000" w:rsidP="00000000" w:rsidRDefault="00000000" w:rsidRPr="00000000" w14:paraId="0000009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commi 5 e 6, infine, sempre allo scopo di rafforzare le misure di contrasto alle indebite compensazioni, in un’ottica di deterrenza, introducono una specifica disciplina sanzionatoria da applicare nei casi in cui venga individuato il tentativo di compensare crediti non utilizzabili.</w:t>
      </w:r>
    </w:p>
    <w:p w:rsidR="00000000" w:rsidDel="00000000" w:rsidP="00000000" w:rsidRDefault="00000000" w:rsidRPr="00000000" w14:paraId="0000009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comma 8 rinvia l’applicazione delle disposizioni di cui ai commi 5 e 6 prevedendo che le stesse si applicano alle deleghe di pagamento presentate a partire dal mese di marzo 2020.</w:t>
      </w:r>
    </w:p>
    <w:p w:rsidR="00000000" w:rsidDel="00000000" w:rsidP="00000000" w:rsidRDefault="00000000" w:rsidRPr="00000000" w14:paraId="000000A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0A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riferimento ai primi tre commi della disposizione in commento, si rappresenta che nel corso degli anni sono state introdotte numerose misure di controllo preventivo, finalizzate al contrasto delle indebite compensazioni di crediti effettuate tramite modello F24.</w:t>
      </w:r>
    </w:p>
    <w:p w:rsidR="00000000" w:rsidDel="00000000" w:rsidP="00000000" w:rsidRDefault="00000000" w:rsidRPr="00000000" w14:paraId="000000A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occasione dell’emanazione dell’articolo 3 del decreto-legge 24 aprile 2017, n. 50, avendo riguardo ad analoghe misure introdotte in passato (in particolare, l’articolo 8, commi 18 e 19, del decreto-legge 2 marzo 2012, n. 16), nella relazione tecnica era stato osservato l’effetto prodotto dalla riduzione da 10 mila a 5 mila euro del limite oltre il quale erano necessari, per la compensazione del credito IVA, la preventiva presentazione della relativa dichiarazione e l’invio esclusivo del modello F24 attraverso i servizi telematici dell’Agenzia delle Entrate.</w:t>
      </w:r>
    </w:p>
    <w:p w:rsidR="00000000" w:rsidDel="00000000" w:rsidP="00000000" w:rsidRDefault="00000000" w:rsidRPr="00000000" w14:paraId="000000A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tale disposizione del 2012 aveva prodotto una riduzione dei crediti compensati del 33,83% su base annua, di cui circa la metà (16,92%) ascrivibile all’obbligo di presentare preventivamente la dichiarazione da cui emerge il credito.</w:t>
      </w:r>
    </w:p>
    <w:p w:rsidR="00000000" w:rsidDel="00000000" w:rsidP="00000000" w:rsidRDefault="00000000" w:rsidRPr="00000000" w14:paraId="000000A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 requisito (la preventiva presentazione della dichiarazione da cui emerge il credito, per importi annui del credito superiori a 5 mila euro) è proprio ciò che viene introdotto dalle disposizioni in commento per la compensazione dei crediti relativi alle imposte dirette; infatti, il citato articolo 3 del decreto-legge n. 50 del 2017, a tal fine, aveva previsto solo l’utilizzo esclusivo dei servizi telematici dell’Agenzia delle Entrate.</w:t>
      </w:r>
    </w:p>
    <w:p w:rsidR="00000000" w:rsidDel="00000000" w:rsidP="00000000" w:rsidRDefault="00000000" w:rsidRPr="00000000" w14:paraId="000000A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Aggiungendo il requisito della preventiva presentazione della dichiarazione da cui emerge il credito, è possibile rendere ancora più efficace e tempestiva l’attività di controllo, in quanto, già in fase di ricezione del modello F24, è possibile stabilire se il credito compensato sia vistato e non superi il credito dichiarato; di conseguenza, è possibile scartare all’origine i modelli F24 che contengano compensazioni di crediti non vistati oppure eccedenti l’importo dichiarato, riducendo l’onere per il bilancio dello Stato in termini di spesa.</w:t>
      </w:r>
    </w:p>
    <w:p w:rsidR="00000000" w:rsidDel="00000000" w:rsidP="00000000" w:rsidRDefault="00000000" w:rsidRPr="00000000" w14:paraId="000000A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stima degli effetti finanziari delle disposizioni in commento, in termini di minore spesa annua a regime, può essere effettuata applicando la suddetta percentuale del 16,92% all’ammontare delle compensazioni di crediti, superiori a 5.000 euro, avvenute nel 2018 per le principali imposte dirette (IRPEF, IRES e IRAP).</w:t>
      </w:r>
    </w:p>
    <w:p w:rsidR="00000000" w:rsidDel="00000000" w:rsidP="00000000" w:rsidRDefault="00000000" w:rsidRPr="00000000" w14:paraId="000000A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sottolinea che la quantificazione viene limitata ai soli crediti per IRPEF, IRES e IRAP (senza considerare le altre imposte minori) per ragioni di prudenza.</w:t>
      </w:r>
    </w:p>
    <w:p w:rsidR="00000000" w:rsidDel="00000000" w:rsidP="00000000" w:rsidRDefault="00000000" w:rsidRPr="00000000" w14:paraId="000000AA">
      <w:pPr>
        <w:spacing w:after="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
        <w:tblW w:w="5980.0" w:type="dxa"/>
        <w:jc w:val="center"/>
        <w:tblLayout w:type="fixed"/>
        <w:tblLook w:val="0400"/>
      </w:tblPr>
      <w:tblGrid>
        <w:gridCol w:w="1220"/>
        <w:gridCol w:w="2320"/>
        <w:gridCol w:w="2440"/>
        <w:tblGridChange w:id="0">
          <w:tblGrid>
            <w:gridCol w:w="1220"/>
            <w:gridCol w:w="2320"/>
            <w:gridCol w:w="2440"/>
          </w:tblGrid>
        </w:tblGridChange>
      </w:tblGrid>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Tipo credito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Fascia d'importo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Ammontare compensato</w:t>
              <w:br w:type="textWrapping"/>
              <w:t xml:space="preserve">anno 2018</w:t>
              <w:br w:type="textWrapping"/>
              <w:t xml:space="preserve">(in milioni di euro)</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IRAP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maggiore di 5 mila euro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461</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maggiore di 5 mila euro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3.094</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IRPEF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maggiore di 5 mila euro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1.636</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Totale</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B9">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5.191</w:t>
            </w:r>
          </w:p>
        </w:tc>
      </w:tr>
      <w:tr>
        <w:trPr>
          <w:trHeight w:val="3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B">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Riduzione 16,92%</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C">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878</w:t>
            </w:r>
          </w:p>
        </w:tc>
      </w:tr>
    </w:tbl>
    <w:p w:rsidR="00000000" w:rsidDel="00000000" w:rsidP="00000000" w:rsidRDefault="00000000" w:rsidRPr="00000000" w14:paraId="000000B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L’effetto combinato della riduzione delle compensazioni indebite e del c.d. slittamento descritto nella relazione illustrativa, che si avrà solo per il 2020, viene stimato considerando l’ammontare delle compensazioni dei suddetti crediti avvenute nel periodo gennaio/aprile del 2018 (per prudenza, si ipotizza che, di tale ammontare, solo il 50% slitterà all’anno successivo e che il restante 50% troverà capienza nei pagamenti da effettuare nello stesso anno di presentazione della dichiarazione).</w:t>
      </w:r>
    </w:p>
    <w:tbl>
      <w:tblPr>
        <w:tblStyle w:val="Table2"/>
        <w:tblW w:w="9638.0" w:type="dxa"/>
        <w:jc w:val="left"/>
        <w:tblInd w:w="0.0" w:type="dxa"/>
        <w:tblLayout w:type="fixed"/>
        <w:tblLook w:val="0400"/>
      </w:tblPr>
      <w:tblGrid>
        <w:gridCol w:w="1400"/>
        <w:gridCol w:w="2447"/>
        <w:gridCol w:w="1663"/>
        <w:gridCol w:w="3155"/>
        <w:gridCol w:w="973"/>
        <w:tblGridChange w:id="0">
          <w:tblGrid>
            <w:gridCol w:w="1400"/>
            <w:gridCol w:w="2447"/>
            <w:gridCol w:w="1663"/>
            <w:gridCol w:w="3155"/>
            <w:gridCol w:w="973"/>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F">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0">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3">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Tipo credito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Fascia d'importo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Ammontare compensato</w:t>
              <w:br w:type="textWrapping"/>
              <w:t xml:space="preserve">anno 2018</w:t>
              <w:br w:type="textWrapping"/>
              <w:t xml:space="preserve">(in milioni di euro)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50% ammontare compensato</w:t>
              <w:br w:type="textWrapping"/>
              <w:t xml:space="preserve">gennaio/aprile 2018</w:t>
              <w:br w:type="textWrapping"/>
              <w:t xml:space="preserve">(in milioni di euro)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(X-Y) </w:t>
            </w:r>
            <w:r w:rsidDel="00000000" w:rsidR="00000000" w:rsidRPr="00000000">
              <w:rPr>
                <w:rFonts w:ascii="Times New Roman" w:cs="Times New Roman" w:eastAsia="Times New Roman" w:hAnsi="Times New Roman"/>
                <w:b w:val="1"/>
                <w:color w:val="000000"/>
                <w:sz w:val="24"/>
                <w:szCs w:val="24"/>
                <w:vertAlign w:val="superscript"/>
                <w:rtl w:val="0"/>
              </w:rPr>
              <w:t xml:space="preserve">(1)</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IRAP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maggiore di 5 mila euro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461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D">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434</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maggiore di 5 mila euro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2.944</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IRPEF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maggiore di 5 mila euro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1.636</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D6">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1.565</w:t>
            </w:r>
          </w:p>
        </w:tc>
      </w:tr>
      <w:tr>
        <w:trPr>
          <w:trHeight w:val="3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DA">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B">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248</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DC">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4.943</w:t>
            </w:r>
          </w:p>
        </w:tc>
      </w:tr>
      <w:tr>
        <w:trPr>
          <w:trHeight w:val="3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0">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Riduzione 16,92%</w:t>
            </w:r>
          </w:p>
          <w:p w:rsidR="00000000" w:rsidDel="00000000" w:rsidP="00000000" w:rsidRDefault="00000000" w:rsidRPr="00000000" w14:paraId="000000E1">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 4.943 milioni di euro</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2">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836</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3">
            <w:pPr>
              <w:spacing w:after="0" w:lineRule="auto"/>
              <w:jc w:val="right"/>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4">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5">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6">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7">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8">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9">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A">
            <w:pPr>
              <w:spacing w:after="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Combinazione effetti per il 2020</w:t>
              <w:br w:type="textWrapping"/>
              <w:t xml:space="preserve">(milioni di euro)</w:t>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D">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E">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F">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Riduzione compensazioni</w:t>
              <w:br w:type="textWrapping"/>
              <w:t xml:space="preserve">indebite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836</w:t>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2">
            <w:pPr>
              <w:spacing w:after="0" w:lineRule="auto"/>
              <w:jc w:val="righ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3">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4">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Slittamento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6">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248</w:t>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7">
            <w:pPr>
              <w:spacing w:after="0" w:lineRule="auto"/>
              <w:jc w:val="righ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8">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9">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A">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Totale effetti per il 2020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1.084</w:t>
            </w:r>
          </w:p>
        </w:tc>
      </w:tr>
    </w:tbl>
    <w:p w:rsidR="00000000" w:rsidDel="00000000" w:rsidP="00000000" w:rsidRDefault="00000000" w:rsidRPr="00000000" w14:paraId="000000F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è la quota di compensazioni che nel 2020 non subirà lo slittamento e quindi si ridurrà del 16,92% in esito ai controlli preventivi che saranno effettuati a seguito dell'introduzione della disposizione in commento.</w:t>
      </w:r>
    </w:p>
    <w:p w:rsidR="00000000" w:rsidDel="00000000" w:rsidP="00000000" w:rsidRDefault="00000000" w:rsidRPr="00000000" w14:paraId="000000F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Ricapitolando, la disposizione in commento produrrà i seguenti effetti positivi, in termini di minore spesa per il bilancio dello Stato:</w:t>
      </w:r>
    </w:p>
    <w:p w:rsidR="00000000" w:rsidDel="00000000" w:rsidP="00000000" w:rsidRDefault="00000000" w:rsidRPr="00000000" w14:paraId="00000100">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8"/>
        <w:gridCol w:w="2406"/>
        <w:gridCol w:w="2407"/>
        <w:gridCol w:w="2407"/>
        <w:tblGridChange w:id="0">
          <w:tblGrid>
            <w:gridCol w:w="2408"/>
            <w:gridCol w:w="2406"/>
            <w:gridCol w:w="2407"/>
            <w:gridCol w:w="2407"/>
          </w:tblGrid>
        </w:tblGridChange>
      </w:tblGrid>
      <w:tr>
        <w:tc>
          <w:tcPr/>
          <w:p w:rsidR="00000000" w:rsidDel="00000000" w:rsidP="00000000" w:rsidRDefault="00000000" w:rsidRPr="00000000" w14:paraId="000001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Effetto</w:t>
            </w:r>
          </w:p>
        </w:tc>
        <w:tc>
          <w:tcPr/>
          <w:p w:rsidR="00000000" w:rsidDel="00000000" w:rsidP="00000000" w:rsidRDefault="00000000" w:rsidRPr="00000000" w14:paraId="000001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 2020</w:t>
            </w:r>
          </w:p>
        </w:tc>
        <w:tc>
          <w:tcPr/>
          <w:p w:rsidR="00000000" w:rsidDel="00000000" w:rsidP="00000000" w:rsidRDefault="00000000" w:rsidRPr="00000000" w14:paraId="000001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 2021</w:t>
            </w:r>
          </w:p>
        </w:tc>
        <w:tc>
          <w:tcPr/>
          <w:p w:rsidR="00000000" w:rsidDel="00000000" w:rsidP="00000000" w:rsidRDefault="00000000" w:rsidRPr="00000000" w14:paraId="000001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 2022</w:t>
            </w:r>
          </w:p>
        </w:tc>
      </w:tr>
      <w:tr>
        <w:tc>
          <w:tcPr/>
          <w:p w:rsidR="00000000" w:rsidDel="00000000" w:rsidP="00000000" w:rsidRDefault="00000000" w:rsidRPr="00000000" w14:paraId="000001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Minore spesa</w:t>
            </w:r>
          </w:p>
        </w:tc>
        <w:tc>
          <w:tcPr/>
          <w:p w:rsidR="00000000" w:rsidDel="00000000" w:rsidP="00000000" w:rsidRDefault="00000000" w:rsidRPr="00000000" w14:paraId="000001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1.084 milioni di euro</w:t>
            </w:r>
          </w:p>
        </w:tc>
        <w:tc>
          <w:tcPr/>
          <w:p w:rsidR="00000000" w:rsidDel="00000000" w:rsidP="00000000" w:rsidRDefault="00000000" w:rsidRPr="00000000" w14:paraId="000001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878 milioni di euro</w:t>
            </w:r>
          </w:p>
        </w:tc>
        <w:tc>
          <w:tcPr/>
          <w:p w:rsidR="00000000" w:rsidDel="00000000" w:rsidP="00000000" w:rsidRDefault="00000000" w:rsidRPr="00000000" w14:paraId="000001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878 milioni di euro</w:t>
            </w:r>
          </w:p>
        </w:tc>
      </w:tr>
    </w:tbl>
    <w:p w:rsidR="00000000" w:rsidDel="00000000" w:rsidP="00000000" w:rsidRDefault="00000000" w:rsidRPr="00000000" w14:paraId="0000010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 altre disposizioni introdotte dalla norma in esame, per ragioni di prudenza, non vengono ascritti effetti finanziari positivi.</w:t>
      </w:r>
    </w:p>
    <w:p w:rsidR="00000000" w:rsidDel="00000000" w:rsidP="00000000" w:rsidRDefault="00000000" w:rsidRPr="00000000" w14:paraId="0000010B">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after="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Art. 4</w:t>
      </w:r>
    </w:p>
    <w:p w:rsidR="00000000" w:rsidDel="00000000" w:rsidP="00000000" w:rsidRDefault="00000000" w:rsidRPr="00000000" w14:paraId="0000010E">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Estensione regime reverse charge per il contrasto dell’illecita somministrazione di manodopera)</w:t>
      </w:r>
      <w:r w:rsidDel="00000000" w:rsidR="00000000" w:rsidRPr="00000000">
        <w:rPr>
          <w:rtl w:val="0"/>
        </w:rPr>
      </w:r>
    </w:p>
    <w:p w:rsidR="00000000" w:rsidDel="00000000" w:rsidP="00000000" w:rsidRDefault="00000000" w:rsidRPr="00000000" w14:paraId="0000010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 All’articolo 17, comma sesto, del decreto del Presidente della Repubblica 26 ottobre 1972, n. 633, dopo la lettera a-quater) è aggiunta la seguente: “a-quinquies) alle prestazioni di servizi, diversi da quelle di cui alle lettere da a) ad a-quater, effettuate tramite contratti di appalto, subappalto, affidamento a soggetti consorziati o rapporti negoziali comunque denominati  caratterizzati da prevalente utilizzo di manodopera presso le sedi di attività del committente con l’utilizzo di beni strumentali di proprietà di quest’ultimo o ad esso riconducibili in qualunque forma. La disposizione di cui presedente periodo non si applica alle operazioni effettuate nei confronti di pubbliche amministrazioni e altri enti e società di cui all’art. 17-1ter e alle agenzie per il lavoro disciplinate dal Capo I del Titolo II del decreto legislativo 10 settembre 2003, n. 276.</w:t>
      </w:r>
    </w:p>
    <w:p w:rsidR="00000000" w:rsidDel="00000000" w:rsidP="00000000" w:rsidRDefault="00000000" w:rsidRPr="00000000" w14:paraId="00000111">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 L'efficacia della disposizione di cui al comma 1 è subordinata al rilascio, da parte del Consiglio dell'Unione europea, dell'autorizzazione di una misura di deroga ai sensi dell'</w:t>
      </w:r>
      <w:r w:rsidDel="00000000" w:rsidR="00000000" w:rsidRPr="00000000">
        <w:rPr>
          <w:rFonts w:ascii="Times New Roman" w:cs="Times New Roman" w:eastAsia="Times New Roman" w:hAnsi="Times New Roman"/>
          <w:color w:val="000000"/>
          <w:sz w:val="24"/>
          <w:szCs w:val="24"/>
          <w:highlight w:val="yellow"/>
          <w:u w:val="none"/>
          <w:rtl w:val="0"/>
        </w:rPr>
        <w:t xml:space="preserve">articolo 395 della direttiva 2006/112/CE del Consiglio, del 28 novembre 2006</w:t>
      </w:r>
      <w:r w:rsidDel="00000000" w:rsidR="00000000" w:rsidRPr="00000000">
        <w:rPr>
          <w:rFonts w:ascii="Times New Roman" w:cs="Times New Roman" w:eastAsia="Times New Roman" w:hAnsi="Times New Roman"/>
          <w:sz w:val="24"/>
          <w:szCs w:val="24"/>
          <w:highlight w:val="yellow"/>
          <w:rtl w:val="0"/>
        </w:rPr>
        <w:t xml:space="preserve">, e successive modificazioni.</w:t>
      </w:r>
    </w:p>
    <w:p w:rsidR="00000000" w:rsidDel="00000000" w:rsidP="00000000" w:rsidRDefault="00000000" w:rsidRPr="00000000" w14:paraId="00000112">
      <w:pPr>
        <w:jc w:val="cente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13">
      <w:pPr>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Relazione illustrativa</w:t>
      </w:r>
    </w:p>
    <w:p w:rsidR="00000000" w:rsidDel="00000000" w:rsidP="00000000" w:rsidRDefault="00000000" w:rsidRPr="00000000" w14:paraId="00000114">
      <w:pPr>
        <w:spacing w:after="0" w:lineRule="auto"/>
        <w:ind w:firstLine="709"/>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Nel corso degli anni è stato riscontrato il dilagante fenomeno dell’utilizzo di crediti falsi, soprattutto IVA, per il pagamento (con il meccanismo della compensazione regolato dall’art. 17 del D.Lgs. del 09/07/1997 n. 241) delle ritenute fiscali e dei contributi previdenziali o assistenziali sui redditi da lavoro dipendente.</w:t>
      </w:r>
    </w:p>
    <w:p w:rsidR="00000000" w:rsidDel="00000000" w:rsidP="00000000" w:rsidRDefault="00000000" w:rsidRPr="00000000" w14:paraId="00000115">
      <w:pPr>
        <w:spacing w:after="0" w:lineRule="auto"/>
        <w:ind w:firstLine="709"/>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All’interno di questo fenomeno di frode ed evasione sono stati individuati i soggetti che operano – in qualità di appaltatori – maggiormente nei settori della logistica, dei servizi alle imprese nonché nei settori alimentare e meccanica, tutti settori caratterizzati dal consistente utilizzo di manodopera e dalla conseguente presenza di debiti nei confronti dell’Erario/INPS derivanti dalle retribuzioni corrisposte. </w:t>
      </w:r>
    </w:p>
    <w:p w:rsidR="00000000" w:rsidDel="00000000" w:rsidP="00000000" w:rsidRDefault="00000000" w:rsidRPr="00000000" w14:paraId="00000116">
      <w:pPr>
        <w:spacing w:after="0" w:lineRule="auto"/>
        <w:ind w:firstLine="709"/>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Nello specifico è stato riscontrato che i soggetti che forniscono prevalentemente manodopera – tramite appalto di servizi - sono società a responsabilità limitata e cooperative (queste ultime in misura prevalente); inoltre, in molti casi, è presente una società consortile che si interfaccia con il committente.</w:t>
      </w:r>
    </w:p>
    <w:p w:rsidR="00000000" w:rsidDel="00000000" w:rsidP="00000000" w:rsidRDefault="00000000" w:rsidRPr="00000000" w14:paraId="00000117">
      <w:pPr>
        <w:spacing w:after="0" w:lineRule="auto"/>
        <w:ind w:firstLine="709"/>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L’appaltatore (S.r.l. e/o cooperativa), omette sistematicamente i versamenti IVA (o determina l’azzeramento del debito IVA a seguito di utilizzo di fatture false), a fronte della detrazione dell’imposta da parte del committente e/o della società consortile, concretizzando il c.d. salto d’imposta. Il più delle volte tali condotte si accompagnano a violazioni di natura giuslavoristica quali appalti illeciti derivanti da mera somministrazione di manodopera.</w:t>
      </w:r>
    </w:p>
    <w:p w:rsidR="00000000" w:rsidDel="00000000" w:rsidP="00000000" w:rsidRDefault="00000000" w:rsidRPr="00000000" w14:paraId="00000118">
      <w:pPr>
        <w:spacing w:after="0" w:lineRule="auto"/>
        <w:ind w:firstLine="709"/>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Attraverso le forme di evasione sopra descritte, gli appaltatori ottengono risparmi fiscali per mezzo dei quali riescono a offrire i propri servizi a prezzi competitivi, violando la libera concorrenza. Il committente ottiene, come ulteriore vantaggio, flessibilità nell’utilizzo delle risorse umane e minore costo del lavoro sostenuto.</w:t>
      </w:r>
    </w:p>
    <w:p w:rsidR="00000000" w:rsidDel="00000000" w:rsidP="00000000" w:rsidRDefault="00000000" w:rsidRPr="00000000" w14:paraId="0000011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Al fine di contrastare il risparmio fiscale indebito costituito dall’abbattimento del debito IVA da parte dell’appaltatore a fronte della detrazione IVA da parte del committente e/o società consortile, l’introduzione del meccanismo del reverse charge garantirà il corretto adempimento dell’IVA e bloccando il mancato introito per l’Erario. Si tratta di applicare il meccanismo dell’inversione contabile agli appalti caratterizzati dal prevalente utilizzo di manodopera (c.d. labour intensive) nell’attività che costituisce il core business aziendale del committente. A titolo A titolo esemplificativo si consideri un committente che opera nel settore della lavorazione delle carni che si avvale di un consorzio e/o di cooperative, con le quali stipula un formale contratto di appalto per la disossatura dei prosciutti che viene effettuata da lavoratori dell’appaltatore presso gli stabilimenti del committente.</w:t>
      </w:r>
      <w:r w:rsidDel="00000000" w:rsidR="00000000" w:rsidRPr="00000000">
        <w:rPr>
          <w:rtl w:val="0"/>
        </w:rPr>
      </w:r>
    </w:p>
    <w:p w:rsidR="00000000" w:rsidDel="00000000" w:rsidP="00000000" w:rsidRDefault="00000000" w:rsidRPr="00000000" w14:paraId="0000011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after="0"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Relazione tecnica</w:t>
      </w:r>
    </w:p>
    <w:p w:rsidR="00000000" w:rsidDel="00000000" w:rsidP="00000000" w:rsidRDefault="00000000" w:rsidRPr="00000000" w14:paraId="0000011C">
      <w:pPr>
        <w:spacing w:after="0"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11D">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La quantificazione si basa sulle risultanze dell’attività operativa, svolta dall’Agenzia delle Entrate, finalizzata a contrastare l’utilizzo dell’illecita somministrazione di manodopera. Gli esiti, relativi ai più recenti anni d’imposta, hanno messo in evidenza che il fenomeno è diffuso su tutto il territorio nazionale in quanto si sono riscontrati casi significativi in 19 delle 21 regioni e province autonome considerate.</w:t>
      </w:r>
    </w:p>
    <w:p w:rsidR="00000000" w:rsidDel="00000000" w:rsidP="00000000" w:rsidRDefault="00000000" w:rsidRPr="00000000" w14:paraId="0000011E">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Le maggiori imposte accertate negli anni 2017 e 2018, che comprendono IVA, IIDD - IRAP, ammontano, in media, a circa 120 milioni di euro l’anno, di cui </w:t>
      </w:r>
      <w:r w:rsidDel="00000000" w:rsidR="00000000" w:rsidRPr="00000000">
        <w:rPr>
          <w:rFonts w:ascii="Times New Roman" w:cs="Times New Roman" w:eastAsia="Times New Roman" w:hAnsi="Times New Roman"/>
          <w:b w:val="1"/>
          <w:sz w:val="24"/>
          <w:szCs w:val="24"/>
          <w:highlight w:val="yellow"/>
          <w:rtl w:val="0"/>
        </w:rPr>
        <w:t xml:space="preserve">76 milioni di euro relativi all’IVA</w:t>
      </w:r>
      <w:r w:rsidDel="00000000" w:rsidR="00000000" w:rsidRPr="00000000">
        <w:rPr>
          <w:rFonts w:ascii="Times New Roman" w:cs="Times New Roman" w:eastAsia="Times New Roman" w:hAnsi="Times New Roman"/>
          <w:sz w:val="24"/>
          <w:szCs w:val="24"/>
          <w:highlight w:val="yellow"/>
          <w:rtl w:val="0"/>
        </w:rPr>
        <w:t xml:space="preserve">.  Considerando la capacità operativa dell’Agenzia delle Entrate e alla luce degli specifici criteri di rischio adottati, che tendono a focalizzare l’attenzione sulle tipologie di evasione di maggiore rilevanza, si stima che l’ammontare di contestazione rappresenti il 15% del fenomeno complessivo. Pertanto, la perdita di gettito ascrivibile a questa fattispecie di evasione ammonterebbe a circa </w:t>
      </w:r>
      <w:r w:rsidDel="00000000" w:rsidR="00000000" w:rsidRPr="00000000">
        <w:rPr>
          <w:rFonts w:ascii="Times New Roman" w:cs="Times New Roman" w:eastAsia="Times New Roman" w:hAnsi="Times New Roman"/>
          <w:b w:val="1"/>
          <w:sz w:val="24"/>
          <w:szCs w:val="24"/>
          <w:highlight w:val="yellow"/>
          <w:rtl w:val="0"/>
        </w:rPr>
        <w:t xml:space="preserve">400 milioni di euro</w:t>
      </w:r>
      <w:r w:rsidDel="00000000" w:rsidR="00000000" w:rsidRPr="00000000">
        <w:rPr>
          <w:rFonts w:ascii="Times New Roman" w:cs="Times New Roman" w:eastAsia="Times New Roman" w:hAnsi="Times New Roman"/>
          <w:sz w:val="24"/>
          <w:szCs w:val="24"/>
          <w:highlight w:val="yellow"/>
          <w:rtl w:val="0"/>
        </w:rPr>
        <w:t xml:space="preserve">, di cui </w:t>
      </w:r>
      <w:r w:rsidDel="00000000" w:rsidR="00000000" w:rsidRPr="00000000">
        <w:rPr>
          <w:rFonts w:ascii="Times New Roman" w:cs="Times New Roman" w:eastAsia="Times New Roman" w:hAnsi="Times New Roman"/>
          <w:b w:val="1"/>
          <w:sz w:val="24"/>
          <w:szCs w:val="24"/>
          <w:highlight w:val="yellow"/>
          <w:rtl w:val="0"/>
        </w:rPr>
        <w:t xml:space="preserve">255 milioni di euro di IVA</w:t>
      </w:r>
      <w:r w:rsidDel="00000000" w:rsidR="00000000" w:rsidRPr="00000000">
        <w:rPr>
          <w:rFonts w:ascii="Times New Roman" w:cs="Times New Roman" w:eastAsia="Times New Roman" w:hAnsi="Times New Roman"/>
          <w:sz w:val="24"/>
          <w:szCs w:val="24"/>
          <w:highlight w:val="yellow"/>
          <w:rtl w:val="0"/>
        </w:rPr>
        <w:t xml:space="preserve"> e 145 milioni di euro di IIDD - IRAP. </w:t>
      </w:r>
    </w:p>
    <w:p w:rsidR="00000000" w:rsidDel="00000000" w:rsidP="00000000" w:rsidRDefault="00000000" w:rsidRPr="00000000" w14:paraId="0000011F">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Considerate le caratteristiche tipiche della fenomenologia, l’intero ammontare dell’IVA stimata evasa (€ 255 milioni) è costituito, come di seguito illustrato, per il 30% dall’IVA non versata e fisiologicamente dovuta dall’appaltatore, su cui agirebbe il </w:t>
      </w:r>
      <w:r w:rsidDel="00000000" w:rsidR="00000000" w:rsidRPr="00000000">
        <w:rPr>
          <w:rFonts w:ascii="Times New Roman" w:cs="Times New Roman" w:eastAsia="Times New Roman" w:hAnsi="Times New Roman"/>
          <w:i w:val="1"/>
          <w:sz w:val="24"/>
          <w:szCs w:val="24"/>
          <w:highlight w:val="yellow"/>
          <w:rtl w:val="0"/>
        </w:rPr>
        <w:t xml:space="preserve">reverse charge </w:t>
      </w:r>
      <w:r w:rsidDel="00000000" w:rsidR="00000000" w:rsidRPr="00000000">
        <w:rPr>
          <w:rFonts w:ascii="Times New Roman" w:cs="Times New Roman" w:eastAsia="Times New Roman" w:hAnsi="Times New Roman"/>
          <w:sz w:val="24"/>
          <w:szCs w:val="24"/>
          <w:highlight w:val="yellow"/>
          <w:rtl w:val="0"/>
        </w:rPr>
        <w:t xml:space="preserve">oggetto della presente proposta normativa, e per il 70% dall’IVA a credito fittizia utilizzata dall’appaltatore per versare, mediante modelli F24, contributi e ritenute relative alle retribuzioni dei lavoratori somministrati.</w:t>
      </w:r>
    </w:p>
    <w:p w:rsidR="00000000" w:rsidDel="00000000" w:rsidP="00000000" w:rsidRDefault="00000000" w:rsidRPr="00000000" w14:paraId="00000120">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Ad esempio, se consideriamo un appaltatore che abbia emesso fatture per € 500 più IVA per € 110, il fenomeno in argomento presenta le caratteristiche che seguono. Il debito IVA fisiologico, pari ad € 110, non viene versato (mediante omissioni dichiarative, omissioni di versamento, o utilizzo di FOI). Il debito per contributi e ritenute (cuneo fiscale), quantificabile in circa il 50% dell’imponibile fatturato (€ 500) e, quindi, in € 250, viene versato mediante compensazione di ulteriore IVA a credito fittizia (mediante esposizione di IVA a credito fittizia direttamente nel mod. F24, o mediante precostituzione di IVA a credito fittizia in dichiarazione IVA). Nell’esempio qui ipotizzato, l’IVA evasa in totale ammonta ad € 360, di cui i) </w:t>
      </w:r>
      <w:r w:rsidDel="00000000" w:rsidR="00000000" w:rsidRPr="00000000">
        <w:rPr>
          <w:rFonts w:ascii="Times New Roman" w:cs="Times New Roman" w:eastAsia="Times New Roman" w:hAnsi="Times New Roman"/>
          <w:b w:val="1"/>
          <w:sz w:val="24"/>
          <w:szCs w:val="24"/>
          <w:highlight w:val="yellow"/>
          <w:rtl w:val="0"/>
        </w:rPr>
        <w:t xml:space="preserve">€ 110</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pari a circa il 30% del totale</w:t>
      </w:r>
      <w:r w:rsidDel="00000000" w:rsidR="00000000" w:rsidRPr="00000000">
        <w:rPr>
          <w:rFonts w:ascii="Times New Roman" w:cs="Times New Roman" w:eastAsia="Times New Roman" w:hAnsi="Times New Roman"/>
          <w:sz w:val="24"/>
          <w:szCs w:val="24"/>
          <w:highlight w:val="yellow"/>
          <w:rtl w:val="0"/>
        </w:rPr>
        <w:t xml:space="preserve">) ascrivibile all’IVA dovuta sulle fatture emesse, ii) € 250 (pari a circa il 70% del totale) ascrivibile all’IVA fittizia utilizzata per versare ritenute e contributi.</w:t>
      </w:r>
    </w:p>
    <w:p w:rsidR="00000000" w:rsidDel="00000000" w:rsidP="00000000" w:rsidRDefault="00000000" w:rsidRPr="00000000" w14:paraId="0000012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Pertanto, considerando un’IVA evasa pari ad </w:t>
      </w:r>
      <w:r w:rsidDel="00000000" w:rsidR="00000000" w:rsidRPr="00000000">
        <w:rPr>
          <w:rFonts w:ascii="Times New Roman" w:cs="Times New Roman" w:eastAsia="Times New Roman" w:hAnsi="Times New Roman"/>
          <w:b w:val="1"/>
          <w:sz w:val="24"/>
          <w:szCs w:val="24"/>
          <w:highlight w:val="yellow"/>
          <w:rtl w:val="0"/>
        </w:rPr>
        <w:t xml:space="preserve">€ 255 milioni</w:t>
      </w:r>
      <w:r w:rsidDel="00000000" w:rsidR="00000000" w:rsidRPr="00000000">
        <w:rPr>
          <w:rFonts w:ascii="Times New Roman" w:cs="Times New Roman" w:eastAsia="Times New Roman" w:hAnsi="Times New Roman"/>
          <w:sz w:val="24"/>
          <w:szCs w:val="24"/>
          <w:highlight w:val="yellow"/>
          <w:rtl w:val="0"/>
        </w:rPr>
        <w:t xml:space="preserve">, si può concludere che l’introduzione del </w:t>
      </w:r>
      <w:r w:rsidDel="00000000" w:rsidR="00000000" w:rsidRPr="00000000">
        <w:rPr>
          <w:rFonts w:ascii="Times New Roman" w:cs="Times New Roman" w:eastAsia="Times New Roman" w:hAnsi="Times New Roman"/>
          <w:i w:val="1"/>
          <w:sz w:val="24"/>
          <w:szCs w:val="24"/>
          <w:highlight w:val="yellow"/>
          <w:rtl w:val="0"/>
        </w:rPr>
        <w:t xml:space="preserve">reverse charge</w:t>
      </w:r>
      <w:r w:rsidDel="00000000" w:rsidR="00000000" w:rsidRPr="00000000">
        <w:rPr>
          <w:rFonts w:ascii="Times New Roman" w:cs="Times New Roman" w:eastAsia="Times New Roman" w:hAnsi="Times New Roman"/>
          <w:sz w:val="24"/>
          <w:szCs w:val="24"/>
          <w:highlight w:val="yellow"/>
          <w:rtl w:val="0"/>
        </w:rPr>
        <w:t xml:space="preserve"> avrebbe un impatto sul gettito IVA, stimabile in </w:t>
      </w:r>
      <w:r w:rsidDel="00000000" w:rsidR="00000000" w:rsidRPr="00000000">
        <w:rPr>
          <w:rFonts w:ascii="Times New Roman" w:cs="Times New Roman" w:eastAsia="Times New Roman" w:hAnsi="Times New Roman"/>
          <w:b w:val="1"/>
          <w:sz w:val="24"/>
          <w:szCs w:val="24"/>
          <w:highlight w:val="yellow"/>
          <w:rtl w:val="0"/>
        </w:rPr>
        <w:t xml:space="preserve">€ 76,5 milioni all’anno</w:t>
      </w:r>
      <w:r w:rsidDel="00000000" w:rsidR="00000000" w:rsidRPr="00000000">
        <w:rPr>
          <w:rFonts w:ascii="Times New Roman" w:cs="Times New Roman" w:eastAsia="Times New Roman" w:hAnsi="Times New Roman"/>
          <w:sz w:val="24"/>
          <w:szCs w:val="24"/>
          <w:highlight w:val="yellow"/>
          <w:rtl w:val="0"/>
        </w:rPr>
        <w:t xml:space="preserve"> (pari al 30% di 255).</w:t>
      </w:r>
      <w:r w:rsidDel="00000000" w:rsidR="00000000" w:rsidRPr="00000000">
        <w:rPr>
          <w:rtl w:val="0"/>
        </w:rPr>
      </w:r>
    </w:p>
    <w:p w:rsidR="00000000" w:rsidDel="00000000" w:rsidP="00000000" w:rsidRDefault="00000000" w:rsidRPr="00000000" w14:paraId="00000122">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spacing w:after="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Art. 5</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Times New Roman" w:cs="Times New Roman" w:eastAsia="Times New Roman" w:hAnsi="Times New Roman"/>
          <w:b w:val="0"/>
          <w:i w:val="0"/>
          <w:smallCaps w:val="0"/>
          <w:strike w:val="1"/>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Ritenute e compensazioni in appalti e subappalti</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1"/>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26">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 Al decreto legislativo 9 luglio 1997, n. 241, dopo l’articolo 17 è aggiunto il seguente: </w:t>
      </w:r>
    </w:p>
    <w:p w:rsidR="00000000" w:rsidDel="00000000" w:rsidP="00000000" w:rsidRDefault="00000000" w:rsidRPr="00000000" w14:paraId="00000127">
      <w:pPr>
        <w:spacing w:after="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“Art. 17-bis:</w:t>
      </w:r>
    </w:p>
    <w:p w:rsidR="00000000" w:rsidDel="00000000" w:rsidP="00000000" w:rsidRDefault="00000000" w:rsidRPr="00000000" w14:paraId="00000128">
      <w:pPr>
        <w:spacing w:after="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(Ritenute e compensazioni in appalti e subappalti)</w:t>
      </w:r>
    </w:p>
    <w:p w:rsidR="00000000" w:rsidDel="00000000" w:rsidP="00000000" w:rsidRDefault="00000000" w:rsidRPr="00000000" w14:paraId="00000129">
      <w:pPr>
        <w:spacing w:after="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2A">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 In deroga alla disposizione di cui all’articolo 17 comma 1, i soggetti di cui all’articolo 23, comma 1, </w:t>
      </w:r>
      <w:r w:rsidDel="00000000" w:rsidR="00000000" w:rsidRPr="00000000">
        <w:rPr>
          <w:rFonts w:ascii="Times New Roman" w:cs="Times New Roman" w:eastAsia="Times New Roman" w:hAnsi="Times New Roman"/>
          <w:color w:val="000000"/>
          <w:sz w:val="24"/>
          <w:szCs w:val="24"/>
          <w:highlight w:val="yellow"/>
          <w:rtl w:val="0"/>
        </w:rPr>
        <w:t xml:space="preserve">del decreto del Presidente della Repubblica 29 settembre 1973 n. 600</w:t>
      </w:r>
      <w:r w:rsidDel="00000000" w:rsidR="00000000" w:rsidRPr="00000000">
        <w:rPr>
          <w:rFonts w:ascii="Times New Roman" w:cs="Times New Roman" w:eastAsia="Times New Roman" w:hAnsi="Times New Roman"/>
          <w:sz w:val="24"/>
          <w:szCs w:val="24"/>
          <w:highlight w:val="yellow"/>
          <w:rtl w:val="0"/>
        </w:rPr>
        <w:t xml:space="preserve"> residenti a fini delle imposte dirette nello Stato ai sensi degli articoli 2 comma 2 e 7 comma 3 del testo unico delle imposte sui redditi, approvato con decreto del Presidente della Repubblica 22 dicembre 1986, n. 917 che affidano il compimento di un’opera o di un servizio ad un’impresa sono tenuti al versamento delle ritenute di cui agli articoli 23 e 24 </w:t>
      </w:r>
      <w:r w:rsidDel="00000000" w:rsidR="00000000" w:rsidRPr="00000000">
        <w:rPr>
          <w:rFonts w:ascii="Times New Roman" w:cs="Times New Roman" w:eastAsia="Times New Roman" w:hAnsi="Times New Roman"/>
          <w:color w:val="000000"/>
          <w:sz w:val="24"/>
          <w:szCs w:val="24"/>
          <w:highlight w:val="yellow"/>
          <w:rtl w:val="0"/>
        </w:rPr>
        <w:t xml:space="preserve">del citato decreto del Presidente della Repubblica n. 600, del 1973, </w:t>
      </w:r>
      <w:r w:rsidDel="00000000" w:rsidR="00000000" w:rsidRPr="00000000">
        <w:rPr>
          <w:rFonts w:ascii="Times New Roman" w:cs="Times New Roman" w:eastAsia="Times New Roman" w:hAnsi="Times New Roman"/>
          <w:sz w:val="24"/>
          <w:szCs w:val="24"/>
          <w:highlight w:val="yellow"/>
          <w:rtl w:val="0"/>
        </w:rPr>
        <w:t xml:space="preserve">50 comma 4 del decreto legislativo 15 dicembre 1997 n. 446 e 1 comma 5 decreto legislativo 28 settembre 1998 n. 360 trattenute dall’impresa appaltatrice o affidataria e dalle imprese subappaltatrici, ai lavoratori direttamente impiegati nell’esecuzione dell’opera o del servizio.</w:t>
      </w:r>
    </w:p>
    <w:p w:rsidR="00000000" w:rsidDel="00000000" w:rsidP="00000000" w:rsidRDefault="00000000" w:rsidRPr="00000000" w14:paraId="0000012B">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 L’obbligo di cui al </w:t>
      </w:r>
      <w:r w:rsidDel="00000000" w:rsidR="00000000" w:rsidRPr="00000000">
        <w:rPr>
          <w:rFonts w:ascii="Times New Roman" w:cs="Times New Roman" w:eastAsia="Times New Roman" w:hAnsi="Times New Roman"/>
          <w:b w:val="1"/>
          <w:sz w:val="24"/>
          <w:szCs w:val="24"/>
          <w:highlight w:val="yellow"/>
          <w:rtl w:val="0"/>
        </w:rPr>
        <w:t xml:space="preserve">comma 1</w:t>
      </w:r>
      <w:r w:rsidDel="00000000" w:rsidR="00000000" w:rsidRPr="00000000">
        <w:rPr>
          <w:rFonts w:ascii="Times New Roman" w:cs="Times New Roman" w:eastAsia="Times New Roman" w:hAnsi="Times New Roman"/>
          <w:sz w:val="24"/>
          <w:szCs w:val="24"/>
          <w:highlight w:val="yellow"/>
          <w:rtl w:val="0"/>
        </w:rPr>
        <w:t xml:space="preserve"> è relativo a tutte le ritenute fiscali operate dall’impresa appaltatrice o affidataria e dalle imprese subappaltatrici, nel corso di durata del contratto, sulle retribuzioni erogate al personale direttamente impiegato nell’esecuzione delle opere o dei servizi affidati.</w:t>
      </w:r>
    </w:p>
    <w:p w:rsidR="00000000" w:rsidDel="00000000" w:rsidP="00000000" w:rsidRDefault="00000000" w:rsidRPr="00000000" w14:paraId="0000012C">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3. L’importo corrispondente all’ammontare complessivo del versamento dovuto è versato dall’impresa appaltatrice o affidataria e dalle imprese subappaltatrici al committente con almeno 5 giorni lavorativi di anticipo rispetto alla scadenza del versamento stesso di cui al successivo articolo 18 comma 1, su specifico conto corrente bancario o postale comunicato dal committente all’impresa affidataria o appaltatrice e da quest’ultima alle imprese subappaltatrici.</w:t>
      </w:r>
    </w:p>
    <w:p w:rsidR="00000000" w:rsidDel="00000000" w:rsidP="00000000" w:rsidRDefault="00000000" w:rsidRPr="00000000" w14:paraId="0000012D">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4. Il committente che ha ricevuto le somme necessarie all’effettuazione del versamento lo esegue, senza possibilità di utilizzare in compensazione proprie posizioni creditorie, entro il termine previsto dall’articolo 18 e con le modalità previste dall’articolo 19, in luogo del soggetto che ha effettuato le ritenute ed indicando nella delega di pagamento il codice fiscale dello stesso quale soggetto per conto del quale il versamento è eseguito.</w:t>
      </w:r>
    </w:p>
    <w:p w:rsidR="00000000" w:rsidDel="00000000" w:rsidP="00000000" w:rsidRDefault="00000000" w:rsidRPr="00000000" w14:paraId="0000012E">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5. Entro il termine di cui al </w:t>
      </w:r>
      <w:r w:rsidDel="00000000" w:rsidR="00000000" w:rsidRPr="00000000">
        <w:rPr>
          <w:rFonts w:ascii="Times New Roman" w:cs="Times New Roman" w:eastAsia="Times New Roman" w:hAnsi="Times New Roman"/>
          <w:b w:val="1"/>
          <w:sz w:val="24"/>
          <w:szCs w:val="24"/>
          <w:highlight w:val="yellow"/>
          <w:rtl w:val="0"/>
        </w:rPr>
        <w:t xml:space="preserve">comma 3</w:t>
      </w:r>
      <w:r w:rsidDel="00000000" w:rsidR="00000000" w:rsidRPr="00000000">
        <w:rPr>
          <w:rFonts w:ascii="Times New Roman" w:cs="Times New Roman" w:eastAsia="Times New Roman" w:hAnsi="Times New Roman"/>
          <w:sz w:val="24"/>
          <w:szCs w:val="24"/>
          <w:highlight w:val="yellow"/>
          <w:rtl w:val="0"/>
        </w:rPr>
        <w:t xml:space="preserve">, al fine di consentire al committente il riscontro dell’ammontare complessivo degli importi ricevuti con le trattenute effettuate dalle imprese, queste trasmettono tramite posta elettronica certificata al committente e, per le imprese subappaltatrici, anche all’impresa appaltatrice:</w:t>
      </w:r>
    </w:p>
    <w:p w:rsidR="00000000" w:rsidDel="00000000" w:rsidP="00000000" w:rsidRDefault="00000000" w:rsidRPr="00000000" w14:paraId="0000012F">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ab/>
        <w:t xml:space="preserve">a) un elenco nominativo di tutti i lavoratori, identificati mediante codice fiscale, impiegati nel mese precedente direttamente nell’esecuzione di opere e servizi affidati dal committente, con il dettaglio delle ore di lavoro prestate da ciascun percipiente in esecuzione dell’opera o del servizio affidato, l’ammontare della retribuzione corrisposta al dipendente collegata a tale prestazione ed il dettaglio delle ritenute fiscali eseguite nel mese precedente nei confronti di detto lavoratore, con separata indicazione di quelle relative alla prestazione affidata dal committente; </w:t>
      </w:r>
    </w:p>
    <w:p w:rsidR="00000000" w:rsidDel="00000000" w:rsidP="00000000" w:rsidRDefault="00000000" w:rsidRPr="00000000" w14:paraId="00000130">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ab/>
        <w:t xml:space="preserve">b) tutti i dati utili alla compilazione delle deleghe di pagamento necessarie per l’effettuazione dei versamenti di cui al </w:t>
      </w:r>
      <w:r w:rsidDel="00000000" w:rsidR="00000000" w:rsidRPr="00000000">
        <w:rPr>
          <w:rFonts w:ascii="Times New Roman" w:cs="Times New Roman" w:eastAsia="Times New Roman" w:hAnsi="Times New Roman"/>
          <w:b w:val="1"/>
          <w:sz w:val="24"/>
          <w:szCs w:val="24"/>
          <w:highlight w:val="yellow"/>
          <w:rtl w:val="0"/>
        </w:rPr>
        <w:t xml:space="preserve">comma 1</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131">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ab/>
        <w:t xml:space="preserve">c) i dati identificativi del bonifico effettuato ai sensi del </w:t>
      </w:r>
      <w:r w:rsidDel="00000000" w:rsidR="00000000" w:rsidRPr="00000000">
        <w:rPr>
          <w:rFonts w:ascii="Times New Roman" w:cs="Times New Roman" w:eastAsia="Times New Roman" w:hAnsi="Times New Roman"/>
          <w:b w:val="1"/>
          <w:sz w:val="24"/>
          <w:szCs w:val="24"/>
          <w:highlight w:val="yellow"/>
          <w:rtl w:val="0"/>
        </w:rPr>
        <w:t xml:space="preserve">comma 3</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132">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6. Nel caso in cui alla data di cui al </w:t>
      </w:r>
      <w:r w:rsidDel="00000000" w:rsidR="00000000" w:rsidRPr="00000000">
        <w:rPr>
          <w:rFonts w:ascii="Times New Roman" w:cs="Times New Roman" w:eastAsia="Times New Roman" w:hAnsi="Times New Roman"/>
          <w:b w:val="1"/>
          <w:sz w:val="24"/>
          <w:szCs w:val="24"/>
          <w:highlight w:val="yellow"/>
          <w:rtl w:val="0"/>
        </w:rPr>
        <w:t xml:space="preserve">comma 3</w:t>
      </w:r>
      <w:r w:rsidDel="00000000" w:rsidR="00000000" w:rsidRPr="00000000">
        <w:rPr>
          <w:rFonts w:ascii="Times New Roman" w:cs="Times New Roman" w:eastAsia="Times New Roman" w:hAnsi="Times New Roman"/>
          <w:sz w:val="24"/>
          <w:szCs w:val="24"/>
          <w:highlight w:val="yellow"/>
          <w:rtl w:val="0"/>
        </w:rPr>
        <w:t xml:space="preserve"> sia maturato il diritto a ricevere corrispettivi dall’impresa appaltatrice o affidataria, quest’ultima può allegare alla comunicazione di cui al </w:t>
      </w:r>
      <w:r w:rsidDel="00000000" w:rsidR="00000000" w:rsidRPr="00000000">
        <w:rPr>
          <w:rFonts w:ascii="Times New Roman" w:cs="Times New Roman" w:eastAsia="Times New Roman" w:hAnsi="Times New Roman"/>
          <w:b w:val="1"/>
          <w:sz w:val="24"/>
          <w:szCs w:val="24"/>
          <w:highlight w:val="yellow"/>
          <w:rtl w:val="0"/>
        </w:rPr>
        <w:t xml:space="preserve">comma 5</w:t>
      </w:r>
      <w:r w:rsidDel="00000000" w:rsidR="00000000" w:rsidRPr="00000000">
        <w:rPr>
          <w:rFonts w:ascii="Times New Roman" w:cs="Times New Roman" w:eastAsia="Times New Roman" w:hAnsi="Times New Roman"/>
          <w:sz w:val="24"/>
          <w:szCs w:val="24"/>
          <w:highlight w:val="yellow"/>
          <w:rtl w:val="0"/>
        </w:rPr>
        <w:t xml:space="preserve"> inviata al committente la richiesta di compensazione totale o parziale delle somme necessarie all’esecuzione del versamento delle ritenute effettuate dalla stessa e dalle imprese subappaltatrici con il credito residuo derivante da corrispettivi spettanti e non ancora ricevuti.</w:t>
      </w:r>
    </w:p>
    <w:p w:rsidR="00000000" w:rsidDel="00000000" w:rsidP="00000000" w:rsidRDefault="00000000" w:rsidRPr="00000000" w14:paraId="00000133">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7. Le imprese appaltatrici e subappaltatrici restano responsabili per la corretta determinazione delle ritenute e per la corretta esecuzione delle stesse, nonché per il versamento, </w:t>
      </w:r>
      <w:r w:rsidDel="00000000" w:rsidR="00000000" w:rsidRPr="00000000">
        <w:rPr>
          <w:rFonts w:ascii="Times New Roman" w:cs="Times New Roman" w:eastAsia="Times New Roman" w:hAnsi="Times New Roman"/>
          <w:b w:val="1"/>
          <w:sz w:val="24"/>
          <w:szCs w:val="24"/>
          <w:highlight w:val="yellow"/>
          <w:rtl w:val="0"/>
        </w:rPr>
        <w:t xml:space="preserve">senza possibilità di compensazione, </w:t>
      </w:r>
      <w:r w:rsidDel="00000000" w:rsidR="00000000" w:rsidRPr="00000000">
        <w:rPr>
          <w:rFonts w:ascii="Times New Roman" w:cs="Times New Roman" w:eastAsia="Times New Roman" w:hAnsi="Times New Roman"/>
          <w:sz w:val="24"/>
          <w:szCs w:val="24"/>
          <w:highlight w:val="yellow"/>
          <w:rtl w:val="0"/>
        </w:rPr>
        <w:t xml:space="preserve">laddove entro il termine di cui al </w:t>
      </w:r>
      <w:r w:rsidDel="00000000" w:rsidR="00000000" w:rsidRPr="00000000">
        <w:rPr>
          <w:rFonts w:ascii="Times New Roman" w:cs="Times New Roman" w:eastAsia="Times New Roman" w:hAnsi="Times New Roman"/>
          <w:b w:val="1"/>
          <w:sz w:val="24"/>
          <w:szCs w:val="24"/>
          <w:highlight w:val="yellow"/>
          <w:rtl w:val="0"/>
        </w:rPr>
        <w:t xml:space="preserve">comma 3</w:t>
      </w:r>
      <w:r w:rsidDel="00000000" w:rsidR="00000000" w:rsidRPr="00000000">
        <w:rPr>
          <w:rFonts w:ascii="Times New Roman" w:cs="Times New Roman" w:eastAsia="Times New Roman" w:hAnsi="Times New Roman"/>
          <w:sz w:val="24"/>
          <w:szCs w:val="24"/>
          <w:highlight w:val="yellow"/>
          <w:rtl w:val="0"/>
        </w:rPr>
        <w:t xml:space="preserve"> non abbiano provveduto all’esecuzione del versamento al committente o non abbiano trasmesso la richiesta di cui al </w:t>
      </w:r>
      <w:r w:rsidDel="00000000" w:rsidR="00000000" w:rsidRPr="00000000">
        <w:rPr>
          <w:rFonts w:ascii="Times New Roman" w:cs="Times New Roman" w:eastAsia="Times New Roman" w:hAnsi="Times New Roman"/>
          <w:b w:val="1"/>
          <w:sz w:val="24"/>
          <w:szCs w:val="24"/>
          <w:highlight w:val="yellow"/>
          <w:rtl w:val="0"/>
        </w:rPr>
        <w:t xml:space="preserve">comma 6</w:t>
      </w:r>
      <w:r w:rsidDel="00000000" w:rsidR="00000000" w:rsidRPr="00000000">
        <w:rPr>
          <w:rFonts w:ascii="Times New Roman" w:cs="Times New Roman" w:eastAsia="Times New Roman" w:hAnsi="Times New Roman"/>
          <w:sz w:val="24"/>
          <w:szCs w:val="24"/>
          <w:highlight w:val="yellow"/>
          <w:rtl w:val="0"/>
        </w:rPr>
        <w:t xml:space="preserve"> e non abbiano trasmesso allo stesso i dati di cui al </w:t>
      </w:r>
      <w:r w:rsidDel="00000000" w:rsidR="00000000" w:rsidRPr="00000000">
        <w:rPr>
          <w:rFonts w:ascii="Times New Roman" w:cs="Times New Roman" w:eastAsia="Times New Roman" w:hAnsi="Times New Roman"/>
          <w:b w:val="1"/>
          <w:sz w:val="24"/>
          <w:szCs w:val="24"/>
          <w:highlight w:val="yellow"/>
          <w:rtl w:val="0"/>
        </w:rPr>
        <w:t xml:space="preserve">comma 5</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134">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8. I committenti sono responsabili per il tempestivo versamento delle ritenute effettuate dalle imprese appaltatrici e subappaltatrici entro il limite della somma dell’ammontare dei bonifici ricevuti entro il termine di cui al </w:t>
      </w:r>
      <w:r w:rsidDel="00000000" w:rsidR="00000000" w:rsidRPr="00000000">
        <w:rPr>
          <w:rFonts w:ascii="Times New Roman" w:cs="Times New Roman" w:eastAsia="Times New Roman" w:hAnsi="Times New Roman"/>
          <w:b w:val="1"/>
          <w:sz w:val="24"/>
          <w:szCs w:val="24"/>
          <w:highlight w:val="yellow"/>
          <w:rtl w:val="0"/>
        </w:rPr>
        <w:t xml:space="preserve">comma 3</w:t>
      </w:r>
      <w:r w:rsidDel="00000000" w:rsidR="00000000" w:rsidRPr="00000000">
        <w:rPr>
          <w:rFonts w:ascii="Times New Roman" w:cs="Times New Roman" w:eastAsia="Times New Roman" w:hAnsi="Times New Roman"/>
          <w:sz w:val="24"/>
          <w:szCs w:val="24"/>
          <w:highlight w:val="yellow"/>
          <w:rtl w:val="0"/>
        </w:rPr>
        <w:t xml:space="preserve"> e dei corrispettivi maturati a favore delle imprese appaltatrici o affidatarie e non corrisposti alla stessa data, nonché integralmente nel caso in cui non abbiano tempestivamente comunicato all’impresa appaltatrice o affidataria gli estremi del conto corrente bancario o postale su cui effettuare i versamenti di cui al </w:t>
      </w:r>
      <w:r w:rsidDel="00000000" w:rsidR="00000000" w:rsidRPr="00000000">
        <w:rPr>
          <w:rFonts w:ascii="Times New Roman" w:cs="Times New Roman" w:eastAsia="Times New Roman" w:hAnsi="Times New Roman"/>
          <w:b w:val="1"/>
          <w:sz w:val="24"/>
          <w:szCs w:val="24"/>
          <w:highlight w:val="yellow"/>
          <w:rtl w:val="0"/>
        </w:rPr>
        <w:t xml:space="preserve">comma 3</w:t>
      </w:r>
      <w:r w:rsidDel="00000000" w:rsidR="00000000" w:rsidRPr="00000000">
        <w:rPr>
          <w:rFonts w:ascii="Times New Roman" w:cs="Times New Roman" w:eastAsia="Times New Roman" w:hAnsi="Times New Roman"/>
          <w:sz w:val="24"/>
          <w:szCs w:val="24"/>
          <w:highlight w:val="yellow"/>
          <w:rtl w:val="0"/>
        </w:rPr>
        <w:t xml:space="preserve"> o abbiano eseguito pagamenti alle imprese affidatarie, appaltatrici o subappaltatrici, inadempienti.</w:t>
      </w:r>
    </w:p>
    <w:p w:rsidR="00000000" w:rsidDel="00000000" w:rsidP="00000000" w:rsidRDefault="00000000" w:rsidRPr="00000000" w14:paraId="00000135">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9. Nel caso in cui le imprese appaltatrici o affidatarie e le imprese subappaltatrici non trasmettano entro il termine di cui al </w:t>
      </w:r>
      <w:r w:rsidDel="00000000" w:rsidR="00000000" w:rsidRPr="00000000">
        <w:rPr>
          <w:rFonts w:ascii="Times New Roman" w:cs="Times New Roman" w:eastAsia="Times New Roman" w:hAnsi="Times New Roman"/>
          <w:b w:val="1"/>
          <w:sz w:val="24"/>
          <w:szCs w:val="24"/>
          <w:highlight w:val="yellow"/>
          <w:rtl w:val="0"/>
        </w:rPr>
        <w:t xml:space="preserve">comma 3</w:t>
      </w:r>
      <w:r w:rsidDel="00000000" w:rsidR="00000000" w:rsidRPr="00000000">
        <w:rPr>
          <w:rFonts w:ascii="Times New Roman" w:cs="Times New Roman" w:eastAsia="Times New Roman" w:hAnsi="Times New Roman"/>
          <w:sz w:val="24"/>
          <w:szCs w:val="24"/>
          <w:highlight w:val="yellow"/>
          <w:rtl w:val="0"/>
        </w:rPr>
        <w:t xml:space="preserve"> e con le modalità indicate nel </w:t>
      </w:r>
      <w:r w:rsidDel="00000000" w:rsidR="00000000" w:rsidRPr="00000000">
        <w:rPr>
          <w:rFonts w:ascii="Times New Roman" w:cs="Times New Roman" w:eastAsia="Times New Roman" w:hAnsi="Times New Roman"/>
          <w:b w:val="1"/>
          <w:sz w:val="24"/>
          <w:szCs w:val="24"/>
          <w:highlight w:val="yellow"/>
          <w:rtl w:val="0"/>
        </w:rPr>
        <w:t xml:space="preserve">comma 5</w:t>
      </w:r>
      <w:r w:rsidDel="00000000" w:rsidR="00000000" w:rsidRPr="00000000">
        <w:rPr>
          <w:rFonts w:ascii="Times New Roman" w:cs="Times New Roman" w:eastAsia="Times New Roman" w:hAnsi="Times New Roman"/>
          <w:sz w:val="24"/>
          <w:szCs w:val="24"/>
          <w:highlight w:val="yellow"/>
          <w:rtl w:val="0"/>
        </w:rPr>
        <w:t xml:space="preserve"> i dati ivi richiesti ovvero non effettuino i bonifici entro il termine di cui al </w:t>
      </w:r>
      <w:r w:rsidDel="00000000" w:rsidR="00000000" w:rsidRPr="00000000">
        <w:rPr>
          <w:rFonts w:ascii="Times New Roman" w:cs="Times New Roman" w:eastAsia="Times New Roman" w:hAnsi="Times New Roman"/>
          <w:b w:val="1"/>
          <w:sz w:val="24"/>
          <w:szCs w:val="24"/>
          <w:highlight w:val="yellow"/>
          <w:rtl w:val="0"/>
        </w:rPr>
        <w:t xml:space="preserve">comma 3</w:t>
      </w:r>
      <w:r w:rsidDel="00000000" w:rsidR="00000000" w:rsidRPr="00000000">
        <w:rPr>
          <w:rFonts w:ascii="Times New Roman" w:cs="Times New Roman" w:eastAsia="Times New Roman" w:hAnsi="Times New Roman"/>
          <w:sz w:val="24"/>
          <w:szCs w:val="24"/>
          <w:highlight w:val="yellow"/>
          <w:rtl w:val="0"/>
        </w:rPr>
        <w:t xml:space="preserve"> e/o non inviino la richiesta di compensazione di cui al </w:t>
      </w:r>
      <w:r w:rsidDel="00000000" w:rsidR="00000000" w:rsidRPr="00000000">
        <w:rPr>
          <w:rFonts w:ascii="Times New Roman" w:cs="Times New Roman" w:eastAsia="Times New Roman" w:hAnsi="Times New Roman"/>
          <w:b w:val="1"/>
          <w:sz w:val="24"/>
          <w:szCs w:val="24"/>
          <w:highlight w:val="yellow"/>
          <w:rtl w:val="0"/>
        </w:rPr>
        <w:t xml:space="preserve">comma 6</w:t>
      </w:r>
      <w:r w:rsidDel="00000000" w:rsidR="00000000" w:rsidRPr="00000000">
        <w:rPr>
          <w:rFonts w:ascii="Times New Roman" w:cs="Times New Roman" w:eastAsia="Times New Roman" w:hAnsi="Times New Roman"/>
          <w:sz w:val="24"/>
          <w:szCs w:val="24"/>
          <w:highlight w:val="yellow"/>
          <w:rtl w:val="0"/>
        </w:rPr>
        <w:t xml:space="preserve">, ovvero inviino una richiesta di compensazione di cui al </w:t>
      </w:r>
      <w:r w:rsidDel="00000000" w:rsidR="00000000" w:rsidRPr="00000000">
        <w:rPr>
          <w:rFonts w:ascii="Times New Roman" w:cs="Times New Roman" w:eastAsia="Times New Roman" w:hAnsi="Times New Roman"/>
          <w:b w:val="1"/>
          <w:sz w:val="24"/>
          <w:szCs w:val="24"/>
          <w:highlight w:val="yellow"/>
          <w:rtl w:val="0"/>
        </w:rPr>
        <w:t xml:space="preserve">comma 6</w:t>
      </w:r>
      <w:r w:rsidDel="00000000" w:rsidR="00000000" w:rsidRPr="00000000">
        <w:rPr>
          <w:rFonts w:ascii="Times New Roman" w:cs="Times New Roman" w:eastAsia="Times New Roman" w:hAnsi="Times New Roman"/>
          <w:sz w:val="24"/>
          <w:szCs w:val="24"/>
          <w:highlight w:val="yellow"/>
          <w:rtl w:val="0"/>
        </w:rPr>
        <w:t xml:space="preserve"> con crediti inesistenti o non esigibili, il committente deve sospendere il pagamento dei corrispettivi maturati dall’impresa appaltatrice o affidataria vincolando le somme ad essa dovute al pagamento delle ritenute eseguite dalle imprese coinvolte nell’esecuzione dell’opera o del servizio, dandone comunicazione entro 90 giorni all’Ufficio dell’Agenzia delle entrate territorialmente competente nei suoi confronti. In tali casi è preclusa all’impresa appaltatrice o affidataria ogni azione esecutiva finalizzata al soddisfacimento del credito il cui pagamento è stato sospeso, fino a quando non sia stato eseguito il versamento delle ritenute.</w:t>
      </w:r>
    </w:p>
    <w:p w:rsidR="00000000" w:rsidDel="00000000" w:rsidP="00000000" w:rsidRDefault="00000000" w:rsidRPr="00000000" w14:paraId="00000136">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10. Laddove entro 90 giorni dal termine di cui al </w:t>
      </w:r>
      <w:r w:rsidDel="00000000" w:rsidR="00000000" w:rsidRPr="00000000">
        <w:rPr>
          <w:rFonts w:ascii="Times New Roman" w:cs="Times New Roman" w:eastAsia="Times New Roman" w:hAnsi="Times New Roman"/>
          <w:b w:val="1"/>
          <w:sz w:val="24"/>
          <w:szCs w:val="24"/>
          <w:highlight w:val="yellow"/>
          <w:rtl w:val="0"/>
        </w:rPr>
        <w:t xml:space="preserve">comma 3</w:t>
      </w:r>
      <w:r w:rsidDel="00000000" w:rsidR="00000000" w:rsidRPr="00000000">
        <w:rPr>
          <w:rFonts w:ascii="Times New Roman" w:cs="Times New Roman" w:eastAsia="Times New Roman" w:hAnsi="Times New Roman"/>
          <w:sz w:val="24"/>
          <w:szCs w:val="24"/>
          <w:highlight w:val="yellow"/>
          <w:rtl w:val="0"/>
        </w:rPr>
        <w:t xml:space="preserve">, le imprese appaltatrici o affidatarie e le imprese subappaltatrici effettuino il versamento di cui al </w:t>
      </w:r>
      <w:r w:rsidDel="00000000" w:rsidR="00000000" w:rsidRPr="00000000">
        <w:rPr>
          <w:rFonts w:ascii="Times New Roman" w:cs="Times New Roman" w:eastAsia="Times New Roman" w:hAnsi="Times New Roman"/>
          <w:b w:val="1"/>
          <w:sz w:val="24"/>
          <w:szCs w:val="24"/>
          <w:highlight w:val="yellow"/>
          <w:rtl w:val="0"/>
        </w:rPr>
        <w:t xml:space="preserve">comma 3</w:t>
      </w:r>
      <w:r w:rsidDel="00000000" w:rsidR="00000000" w:rsidRPr="00000000">
        <w:rPr>
          <w:rFonts w:ascii="Times New Roman" w:cs="Times New Roman" w:eastAsia="Times New Roman" w:hAnsi="Times New Roman"/>
          <w:sz w:val="24"/>
          <w:szCs w:val="24"/>
          <w:highlight w:val="yellow"/>
          <w:rtl w:val="0"/>
        </w:rPr>
        <w:t xml:space="preserve"> al committente o richiedano la compensazione di cui al </w:t>
      </w:r>
      <w:r w:rsidDel="00000000" w:rsidR="00000000" w:rsidRPr="00000000">
        <w:rPr>
          <w:rFonts w:ascii="Times New Roman" w:cs="Times New Roman" w:eastAsia="Times New Roman" w:hAnsi="Times New Roman"/>
          <w:b w:val="1"/>
          <w:sz w:val="24"/>
          <w:szCs w:val="24"/>
          <w:highlight w:val="yellow"/>
          <w:rtl w:val="0"/>
        </w:rPr>
        <w:t xml:space="preserve">comma 6</w:t>
      </w:r>
      <w:r w:rsidDel="00000000" w:rsidR="00000000" w:rsidRPr="00000000">
        <w:rPr>
          <w:rFonts w:ascii="Times New Roman" w:cs="Times New Roman" w:eastAsia="Times New Roman" w:hAnsi="Times New Roman"/>
          <w:sz w:val="24"/>
          <w:szCs w:val="24"/>
          <w:highlight w:val="yellow"/>
          <w:rtl w:val="0"/>
        </w:rPr>
        <w:t xml:space="preserve"> e trasmettano i dati richiesti ai sensi del </w:t>
      </w:r>
      <w:r w:rsidDel="00000000" w:rsidR="00000000" w:rsidRPr="00000000">
        <w:rPr>
          <w:rFonts w:ascii="Times New Roman" w:cs="Times New Roman" w:eastAsia="Times New Roman" w:hAnsi="Times New Roman"/>
          <w:b w:val="1"/>
          <w:sz w:val="24"/>
          <w:szCs w:val="24"/>
          <w:highlight w:val="yellow"/>
          <w:rtl w:val="0"/>
        </w:rPr>
        <w:t xml:space="preserve">comma 5</w:t>
      </w:r>
      <w:r w:rsidDel="00000000" w:rsidR="00000000" w:rsidRPr="00000000">
        <w:rPr>
          <w:rFonts w:ascii="Times New Roman" w:cs="Times New Roman" w:eastAsia="Times New Roman" w:hAnsi="Times New Roman"/>
          <w:sz w:val="24"/>
          <w:szCs w:val="24"/>
          <w:highlight w:val="yellow"/>
          <w:rtl w:val="0"/>
        </w:rPr>
        <w:t xml:space="preserve">, il committente procede al versamento delle somme, perfezionando, su richiesta del soggetto che ha effettuato le ritenute, il ravvedimento operoso di cui all’articolo 13 del decreto legislativo 18 dicembre 1997, n. 472 e addebitando allo stesso gli interessi e le sanzioni versati.</w:t>
      </w:r>
    </w:p>
    <w:p w:rsidR="00000000" w:rsidDel="00000000" w:rsidP="00000000" w:rsidRDefault="00000000" w:rsidRPr="00000000" w14:paraId="00000137">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11. Il committente che ha effettuato il pagamento per conto delle imprese appaltatrici o affidatarie e subappaltatrici comunica entro 5 giorni mediante posta elettronica certificata a queste ultime l’effettuazione del pagamento. Le imprese che hanno provveduto al versamento delle ritenute al committente o a richiesta di compensazione con i corrispettivi maturati nei confronti dello stesso e non hanno ricevuto evidenza dell’effettuazione del versamento delle ritenute da parte di quest’ultimo, comunicano tale situazione all’Ufficio dell’Agenzia delle entrate territorialmente competente nei loro confronti.</w:t>
      </w:r>
    </w:p>
    <w:p w:rsidR="00000000" w:rsidDel="00000000" w:rsidP="00000000" w:rsidRDefault="00000000" w:rsidRPr="00000000" w14:paraId="00000138">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12. Le imprese appaltatrici, affidatarie e subappaltatrici possono eseguire direttamente il versamento delle ritenute secondo le procedure previste dagli articoli 17 e 18 comunicando al committente tale opzione entro la data di cui al </w:t>
      </w:r>
      <w:r w:rsidDel="00000000" w:rsidR="00000000" w:rsidRPr="00000000">
        <w:rPr>
          <w:rFonts w:ascii="Times New Roman" w:cs="Times New Roman" w:eastAsia="Times New Roman" w:hAnsi="Times New Roman"/>
          <w:b w:val="1"/>
          <w:sz w:val="24"/>
          <w:szCs w:val="24"/>
          <w:highlight w:val="yellow"/>
          <w:rtl w:val="0"/>
        </w:rPr>
        <w:t xml:space="preserve">comma 3</w:t>
      </w:r>
      <w:r w:rsidDel="00000000" w:rsidR="00000000" w:rsidRPr="00000000">
        <w:rPr>
          <w:rFonts w:ascii="Times New Roman" w:cs="Times New Roman" w:eastAsia="Times New Roman" w:hAnsi="Times New Roman"/>
          <w:sz w:val="24"/>
          <w:szCs w:val="24"/>
          <w:highlight w:val="yellow"/>
          <w:rtl w:val="0"/>
        </w:rPr>
        <w:t xml:space="preserve"> ed allegando una certificazione dei requisiti di cui al presente comma, qualora nell’ultimo giorno del mese precedente a quello della scadenza prevista dal </w:t>
      </w:r>
      <w:r w:rsidDel="00000000" w:rsidR="00000000" w:rsidRPr="00000000">
        <w:rPr>
          <w:rFonts w:ascii="Times New Roman" w:cs="Times New Roman" w:eastAsia="Times New Roman" w:hAnsi="Times New Roman"/>
          <w:b w:val="1"/>
          <w:sz w:val="24"/>
          <w:szCs w:val="24"/>
          <w:highlight w:val="yellow"/>
          <w:rtl w:val="0"/>
        </w:rPr>
        <w:t xml:space="preserve">comma 3:</w:t>
      </w:r>
      <w:r w:rsidDel="00000000" w:rsidR="00000000" w:rsidRPr="00000000">
        <w:rPr>
          <w:rtl w:val="0"/>
        </w:rPr>
      </w:r>
    </w:p>
    <w:p w:rsidR="00000000" w:rsidDel="00000000" w:rsidP="00000000" w:rsidRDefault="00000000" w:rsidRPr="00000000" w14:paraId="00000139">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ab/>
        <w:t xml:space="preserve">a) risultino in attività da almeno 5 anni;</w:t>
      </w:r>
    </w:p>
    <w:p w:rsidR="00000000" w:rsidDel="00000000" w:rsidP="00000000" w:rsidRDefault="00000000" w:rsidRPr="00000000" w14:paraId="0000013A">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ab/>
        <w:t xml:space="preserve">b) abbiano eseguito nel corso dei due anni precedenti complessivi versamenti registrati nel conto fiscale per un importo superiore a Euro 2 milioni;</w:t>
      </w:r>
    </w:p>
    <w:p w:rsidR="00000000" w:rsidDel="00000000" w:rsidP="00000000" w:rsidRDefault="00000000" w:rsidRPr="00000000" w14:paraId="0000013B">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ab/>
        <w:t xml:space="preserve">c) non abbiano iscrizioni a ruolo o accertamenti esecutivi affidati agli agenti della riscossione relativi a tributi e contributi previdenziali per importi superiori ad Euro 50.000,00, per i quali siano ancora dovuti pagamenti o per i quali non siano stati accordati provvedimenti di sospensione.</w:t>
      </w:r>
    </w:p>
    <w:p w:rsidR="00000000" w:rsidDel="00000000" w:rsidP="00000000" w:rsidRDefault="00000000" w:rsidRPr="00000000" w14:paraId="0000013C">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13. Entro 90 giorni dall’entrata in vigore della presente disposizione, la certificazione di cui al </w:t>
      </w:r>
      <w:r w:rsidDel="00000000" w:rsidR="00000000" w:rsidRPr="00000000">
        <w:rPr>
          <w:rFonts w:ascii="Times New Roman" w:cs="Times New Roman" w:eastAsia="Times New Roman" w:hAnsi="Times New Roman"/>
          <w:b w:val="1"/>
          <w:sz w:val="24"/>
          <w:szCs w:val="24"/>
          <w:highlight w:val="yellow"/>
          <w:rtl w:val="0"/>
        </w:rPr>
        <w:t xml:space="preserve">comma 12</w:t>
      </w:r>
      <w:r w:rsidDel="00000000" w:rsidR="00000000" w:rsidRPr="00000000">
        <w:rPr>
          <w:rFonts w:ascii="Times New Roman" w:cs="Times New Roman" w:eastAsia="Times New Roman" w:hAnsi="Times New Roman"/>
          <w:sz w:val="24"/>
          <w:szCs w:val="24"/>
          <w:highlight w:val="yellow"/>
          <w:rtl w:val="0"/>
        </w:rPr>
        <w:t xml:space="preserve"> è messa a disposizione delle singole imprese dall’Agenzia delle entrate mediante canali telematici e l’autenticità della stessa è riscontrabile dal committente mediante apposito servizio telematico messo a disposizione dell’Agenzia delle entrate.</w:t>
      </w:r>
    </w:p>
    <w:p w:rsidR="00000000" w:rsidDel="00000000" w:rsidP="00000000" w:rsidRDefault="00000000" w:rsidRPr="00000000" w14:paraId="0000013D">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14. Con provvedimento del Direttore dell’Agenzia delle entrate da emanarsi entro 90 giorni dall’entrata in vigore del presente decreto sono disciplinate le modalità per il rilascio ed il riscontro della certificazione prevista dal </w:t>
      </w:r>
      <w:r w:rsidDel="00000000" w:rsidR="00000000" w:rsidRPr="00000000">
        <w:rPr>
          <w:rFonts w:ascii="Times New Roman" w:cs="Times New Roman" w:eastAsia="Times New Roman" w:hAnsi="Times New Roman"/>
          <w:b w:val="1"/>
          <w:sz w:val="24"/>
          <w:szCs w:val="24"/>
          <w:highlight w:val="yellow"/>
          <w:rtl w:val="0"/>
        </w:rPr>
        <w:t xml:space="preserve">comma 12</w:t>
      </w:r>
      <w:r w:rsidDel="00000000" w:rsidR="00000000" w:rsidRPr="00000000">
        <w:rPr>
          <w:rFonts w:ascii="Times New Roman" w:cs="Times New Roman" w:eastAsia="Times New Roman" w:hAnsi="Times New Roman"/>
          <w:sz w:val="24"/>
          <w:szCs w:val="24"/>
          <w:highlight w:val="yellow"/>
          <w:rtl w:val="0"/>
        </w:rPr>
        <w:t xml:space="preserve">; con ulteriori provvedimenti del Direttore dell’Agenzia delle entrate possono essere disciplinate ulteriori modalità di trasmissione telematica delle informazioni previste dai </w:t>
      </w:r>
      <w:r w:rsidDel="00000000" w:rsidR="00000000" w:rsidRPr="00000000">
        <w:rPr>
          <w:rFonts w:ascii="Times New Roman" w:cs="Times New Roman" w:eastAsia="Times New Roman" w:hAnsi="Times New Roman"/>
          <w:b w:val="1"/>
          <w:sz w:val="24"/>
          <w:szCs w:val="24"/>
          <w:highlight w:val="yellow"/>
          <w:rtl w:val="0"/>
        </w:rPr>
        <w:t xml:space="preserve">commi 5 e 6,</w:t>
      </w:r>
      <w:r w:rsidDel="00000000" w:rsidR="00000000" w:rsidRPr="00000000">
        <w:rPr>
          <w:rFonts w:ascii="Times New Roman" w:cs="Times New Roman" w:eastAsia="Times New Roman" w:hAnsi="Times New Roman"/>
          <w:sz w:val="24"/>
          <w:szCs w:val="24"/>
          <w:highlight w:val="yellow"/>
          <w:rtl w:val="0"/>
        </w:rPr>
        <w:t xml:space="preserve"> alternative a quella di cui al </w:t>
      </w:r>
      <w:r w:rsidDel="00000000" w:rsidR="00000000" w:rsidRPr="00000000">
        <w:rPr>
          <w:rFonts w:ascii="Times New Roman" w:cs="Times New Roman" w:eastAsia="Times New Roman" w:hAnsi="Times New Roman"/>
          <w:b w:val="1"/>
          <w:sz w:val="24"/>
          <w:szCs w:val="24"/>
          <w:highlight w:val="yellow"/>
          <w:rtl w:val="0"/>
        </w:rPr>
        <w:t xml:space="preserve">comma 5</w:t>
      </w:r>
      <w:r w:rsidDel="00000000" w:rsidR="00000000" w:rsidRPr="00000000">
        <w:rPr>
          <w:rFonts w:ascii="Times New Roman" w:cs="Times New Roman" w:eastAsia="Times New Roman" w:hAnsi="Times New Roman"/>
          <w:sz w:val="24"/>
          <w:szCs w:val="24"/>
          <w:highlight w:val="yellow"/>
          <w:rtl w:val="0"/>
        </w:rPr>
        <w:t xml:space="preserve">, che consentano anche il tempestivo riscontro degli stessi da parte dell’Agenzia delle entrate.</w:t>
      </w:r>
    </w:p>
    <w:p w:rsidR="00000000" w:rsidDel="00000000" w:rsidP="00000000" w:rsidRDefault="00000000" w:rsidRPr="00000000" w14:paraId="0000013E">
      <w:pPr>
        <w:spacing w:after="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15. In deroga alla disposizione di cui all’articolo 17 comma 1, per le imprese appaltatrici o affidatarie e le imprese subappaltatrici di cui comma 1 del presente articolo, è esclusa la facoltà di avvalersi dell’istituto della compensazione quale modalità di estinzione delle obbligazioni relative a contributi previdenziali e assistenziali e premi assicurativi obbligatori, maturati in relazione ai dipendenti di cui al comma 1. Detta esclusione opera con riguardo a tutti i contributi previdenziali, assistenziali e premi assicurativi maturati nel corso di durata del contratto, sulle retribuzioni erogate al personale direttamente impiegato nell’esecuzione delle opere o dei servizi affidati.</w:t>
      </w:r>
    </w:p>
    <w:p w:rsidR="00000000" w:rsidDel="00000000" w:rsidP="00000000" w:rsidRDefault="00000000" w:rsidRPr="00000000" w14:paraId="0000013F">
      <w:pPr>
        <w:spacing w:after="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16 norma di rinvio alle sanzioni amministrative di cui al d.lgs. 471/1997 da comminare al committente inadempiente;</w:t>
      </w:r>
    </w:p>
    <w:p w:rsidR="00000000" w:rsidDel="00000000" w:rsidP="00000000" w:rsidRDefault="00000000" w:rsidRPr="00000000" w14:paraId="0000014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17. norma di rinvio alle sanzioni penali di cui all’art. 10-bis del d. lgs. 74/2000 da comminare al committente inadempiente.</w:t>
      </w:r>
      <w:r w:rsidDel="00000000" w:rsidR="00000000" w:rsidRPr="00000000">
        <w:rPr>
          <w:rtl w:val="0"/>
        </w:rPr>
      </w:r>
    </w:p>
    <w:p w:rsidR="00000000" w:rsidDel="00000000" w:rsidP="00000000" w:rsidRDefault="00000000" w:rsidRPr="00000000" w14:paraId="0000014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2">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144">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5">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Nel corso delle attività di controllo è stato spesso rilevato che, in caso di assegnazione di appalti pubblici o privati a soggetti scarsamente patrimonializzati, gli stessi utilizzano come modalità per comprimere il prezzo offerto, la sistematica omissione dei versamenti dovuti per le ritenute di lavoro dipendente o assimilato. Il fenomeno talune volte vede la costituzione da parte di soggetti privati interessati a fruire delle prestazioni di lavoro, di sodalizi in forma cooperativa o comunque societaria, strumentali all’evasione delle ritenute fiscali.</w:t>
      </w:r>
    </w:p>
    <w:p w:rsidR="00000000" w:rsidDel="00000000" w:rsidP="00000000" w:rsidRDefault="00000000" w:rsidRPr="00000000" w14:paraId="00000146">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L’attuale normativa (articolo 29 del d.lgs. 276/2003 come modificato dall’articolo 2 del D.L. 25/2017) prevede la responsabilità in solido del committente imprenditore con l’appaltatore e i subappaltatori per i trattamenti retributivi, comprese le quote di trattamento di fine rapporto, nonché i contributi previdenziali e i premi assicurativi, imponendo che lo stesso sia tenuto ad assolvere gli obblighi del sostituto di imposta solo nei casi in cui sia il committente ad effettuare il pagamento diretto al lavoratore. La modifica normativa introdotta con il DL 25/2017 ha escluso la possibilità per i contratti collettivi nazionali sottoscritti da associazioni dei datori di lavoro e dei lavoratori comparativamente più rappresentative del settore di prevedere metodi e procedure di controllo e di verifica della regolarità complessiva degli appalti, alternativi rispetto alla previsione della responsabilità solidale del committente ed ha inoltre soppresso la possibilità, per il committente di eccepire il beneficio della preventiva escussione del patrimonio dell’appaltatore o del subappaltatore.</w:t>
      </w:r>
    </w:p>
    <w:p w:rsidR="00000000" w:rsidDel="00000000" w:rsidP="00000000" w:rsidRDefault="00000000" w:rsidRPr="00000000" w14:paraId="00000147">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Conseguentemente, l’attuale situazione normativa già impone alle imprese committenti di garantirsi contrattualmente nei confronti degli appaltatori prevedendo basilari adempimenti quali l’obbligo contrattuale dell’appaltatore di fornire gli estremi ed i massimali delle proprie polizze di assicurazione RCT e RCO, l’elenco dei lavoratori impiegati nell’appalto, di esibire periodicamente il DURC, il LUL, nonché le buste paga quietanzate da parte dei lavoratori, di verificare quali contratti collettivi vengono effettivamente applicati dall’impresa appaltatrice e dalle imprese subappaltatrici, nonché di individuare comunque quale quota di retribuzione fosse dovuta al lavoratore per la prestazione resa nell’ambito contratto di appalto stipulato dal committente, non potendo quest’ultimo essere ritenuto responsabile per retribuzioni e contributi dovuti per prestazioni rese dal lavoratore nell’ambito di ulteriori contratti sottoscritti dal datore di lavoro.</w:t>
      </w:r>
    </w:p>
    <w:p w:rsidR="00000000" w:rsidDel="00000000" w:rsidP="00000000" w:rsidRDefault="00000000" w:rsidRPr="00000000" w14:paraId="00000148">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La responsabilità solidale del committente per le ritenute fiscali, originariamente introdotta dall’articolo 35, comma 28 del Decreto-legge del 04/07/2006 n. 223, non è più prevista a seguito dell’entrata in vigore dell’articolo 28 del Decreto legislativo del 21/11/2014 n. 175, con la quale il legislatore, al fine di semplificare e razionalizzare gli obblighi tributari ha previsto come forma di tutela per l’erario in tema di adempimento degli obblighi fiscali in materia di ritenute, che l'INPS renda disponibile all’Agenzia delle entrate, con cadenza mensile, i dati relativi alle aziende e alle posizioni contributive dei relativi dipendenti gestite dall’Istituto stesso (art. 28 comma 3 del d.lgs. 175/2014). Tale forma di cautela appare tuttavia insufficiente ad arginare il fenomeno dell’omesso versamento delle ritenute fiscali, soprattutto nei casi in cui la prestazione venga resa in settori ad alta intensità di lavoro.</w:t>
      </w:r>
    </w:p>
    <w:p w:rsidR="00000000" w:rsidDel="00000000" w:rsidP="00000000" w:rsidRDefault="00000000" w:rsidRPr="00000000" w14:paraId="00000149">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La modifica normativa proposta è volta a tutelare l’erario nei confronti dell’omesso versamento di ritenute fiscali da parte di imprese appaltatrici e subappaltatrici o comunque impiegate nell’esecuzione di opere e servizi, introducendo un meccanismo che circostanzi le responsabilità del committente, limitandole a quelle derivanti dall’omesso o tardivo versamento delle ritenute fiscali effettivamente subite dal lavoratore e garantendo che la provvista per il versamento delle stesse venga messa a disposizione dal datore di lavoro, ovvero possa essere rinvenuta nei corrispettivi dovuti già dovuti dal committente all’impresa affidataria del lavoro.</w:t>
      </w:r>
    </w:p>
    <w:p w:rsidR="00000000" w:rsidDel="00000000" w:rsidP="00000000" w:rsidRDefault="00000000" w:rsidRPr="00000000" w14:paraId="0000014A">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1</w:t>
      </w:r>
      <w:r w:rsidDel="00000000" w:rsidR="00000000" w:rsidRPr="00000000">
        <w:rPr>
          <w:rFonts w:ascii="Times New Roman" w:cs="Times New Roman" w:eastAsia="Times New Roman" w:hAnsi="Times New Roman"/>
          <w:sz w:val="24"/>
          <w:szCs w:val="24"/>
          <w:highlight w:val="yellow"/>
          <w:rtl w:val="0"/>
        </w:rPr>
        <w:t xml:space="preserve"> prevede che in tutti i casi in cui un committente affida ad un’impresa l’esecuzione di un’opera o di un servizio, il versamento delle ritenute fiscali venga effettuato dal committente, laddove il committente sia un sostituto di imposta residente nel territorio dello stato ai fini delle imposte sui redditi. </w:t>
      </w:r>
    </w:p>
    <w:p w:rsidR="00000000" w:rsidDel="00000000" w:rsidP="00000000" w:rsidRDefault="00000000" w:rsidRPr="00000000" w14:paraId="0000014B">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L’ambito di applicazione è più esteso rispetto a quello previsto dall’art. 29 del d.lgs. 276/2003 per due ordini di ragioni. In primo luogo l’ambito applicativo non è limitato esclusivamente ai contratti di appalto, dovendo intendersi ricompresi nella locuzione utilizzata anche i contratti non nominati, o misti, nonché i contratti di subfornitura, logistica, spedizione e trasporto, nei quali oggetto del contratto è comunque l’assunzione di un obbligo di fare da parte dell’impresa appaltatrice (rilevando, tuttavia, che parte della giurisprudenza ha inteso estendere a tali contratti anche l’ambito di applicazione della disposizione contenuta nell’articolo 29 del d.lgs. 276/2003). In secondo luogo la norma non si applica nei confronti dei soli committenti “imprenditori” con la conseguenza che anche agli enti pubblici e agli enti non commerciali privati viene imposto il versamento delle ritenute effettuate dalle imprese appaltatrici. Con riferimento ai soggetti giuridici, la norma non include tra i committenti tenuti per conto degli appaltatori e subappaltatori al versamento delle ritenute i soggetti non residenti e i soggetti che si presumono residenti ai fini delle imposte sui redditi ai sensi dell’articolo 73 comma 5-bis del TUIR, in quanto si ritiene che in tali casi lo spostamento dell’obbligo di versamento dal datore di lavoro al committente non fornisca maggiore tutela degli interessi erariali.</w:t>
      </w:r>
    </w:p>
    <w:p w:rsidR="00000000" w:rsidDel="00000000" w:rsidP="00000000" w:rsidRDefault="00000000" w:rsidRPr="00000000" w14:paraId="0000014C">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2</w:t>
      </w:r>
      <w:r w:rsidDel="00000000" w:rsidR="00000000" w:rsidRPr="00000000">
        <w:rPr>
          <w:rFonts w:ascii="Times New Roman" w:cs="Times New Roman" w:eastAsia="Times New Roman" w:hAnsi="Times New Roman"/>
          <w:sz w:val="24"/>
          <w:szCs w:val="24"/>
          <w:highlight w:val="yellow"/>
          <w:rtl w:val="0"/>
        </w:rPr>
        <w:t xml:space="preserve">, circoscrive l’obbligo previsto al comma 1 alle sole ritenute effettuate dal datore di lavoro per le retribuzioni corrisposte al lavoratore direttamente impiegato nell’ambito della prestazione, evitando conseguentemente che il committente possa essere ritenuto responsabile per gli omessi versamenti di ritenute applicate sulle retribuzioni di personale non utilizzato nell’opera commissionata.</w:t>
      </w:r>
    </w:p>
    <w:p w:rsidR="00000000" w:rsidDel="00000000" w:rsidP="00000000" w:rsidRDefault="00000000" w:rsidRPr="00000000" w14:paraId="0000014D">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3</w:t>
      </w:r>
      <w:r w:rsidDel="00000000" w:rsidR="00000000" w:rsidRPr="00000000">
        <w:rPr>
          <w:rFonts w:ascii="Times New Roman" w:cs="Times New Roman" w:eastAsia="Times New Roman" w:hAnsi="Times New Roman"/>
          <w:sz w:val="24"/>
          <w:szCs w:val="24"/>
          <w:highlight w:val="yellow"/>
          <w:rtl w:val="0"/>
        </w:rPr>
        <w:t xml:space="preserve"> prevede che la provvista necessaria all’effettuazione del versamento mensile delle ritenute fiscali venga tempestivamente (5 giorni precedenti alla scadenza del versamento) messa a disposizione del committente dalle imprese appaltatrici e subappaltatrici.</w:t>
      </w:r>
    </w:p>
    <w:p w:rsidR="00000000" w:rsidDel="00000000" w:rsidP="00000000" w:rsidRDefault="00000000" w:rsidRPr="00000000" w14:paraId="0000014E">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4</w:t>
      </w:r>
      <w:r w:rsidDel="00000000" w:rsidR="00000000" w:rsidRPr="00000000">
        <w:rPr>
          <w:rFonts w:ascii="Times New Roman" w:cs="Times New Roman" w:eastAsia="Times New Roman" w:hAnsi="Times New Roman"/>
          <w:sz w:val="24"/>
          <w:szCs w:val="24"/>
          <w:highlight w:val="yellow"/>
          <w:rtl w:val="0"/>
        </w:rPr>
        <w:t xml:space="preserve"> prevede che il committente esegua il versamento mediante delega F24, senza possibilità di utilizzare propri crediti in compensazione.</w:t>
      </w:r>
    </w:p>
    <w:p w:rsidR="00000000" w:rsidDel="00000000" w:rsidP="00000000" w:rsidRDefault="00000000" w:rsidRPr="00000000" w14:paraId="0000014F">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5 </w:t>
      </w:r>
      <w:r w:rsidDel="00000000" w:rsidR="00000000" w:rsidRPr="00000000">
        <w:rPr>
          <w:rFonts w:ascii="Times New Roman" w:cs="Times New Roman" w:eastAsia="Times New Roman" w:hAnsi="Times New Roman"/>
          <w:sz w:val="24"/>
          <w:szCs w:val="24"/>
          <w:highlight w:val="yellow"/>
          <w:rtl w:val="0"/>
        </w:rPr>
        <w:t xml:space="preserve">prevede un esplicito obbligo di trasmissione dei dati necessari al committente per il riscontro degli importi trattenuti e la congruità del versamento dovuto.</w:t>
      </w:r>
    </w:p>
    <w:p w:rsidR="00000000" w:rsidDel="00000000" w:rsidP="00000000" w:rsidRDefault="00000000" w:rsidRPr="00000000" w14:paraId="00000150">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6</w:t>
      </w:r>
      <w:r w:rsidDel="00000000" w:rsidR="00000000" w:rsidRPr="00000000">
        <w:rPr>
          <w:rFonts w:ascii="Times New Roman" w:cs="Times New Roman" w:eastAsia="Times New Roman" w:hAnsi="Times New Roman"/>
          <w:sz w:val="24"/>
          <w:szCs w:val="24"/>
          <w:highlight w:val="yellow"/>
          <w:rtl w:val="0"/>
        </w:rPr>
        <w:t xml:space="preserve"> prevede che l’impresa affidataria nei confronti della quale siano già maturati corrispettivi non ancora corrisposti dal committente, possa richiedere allo stesso di effettuare il versamento rivalendosi su tali corrispettivi e non rimettendo, pertanto, la necessaria provvista. Tale disposizione è finalizzata ad evitare che il ritardo nel pagamento dei corrispettivi da parte del committente, rendendo impossibile all’impresa esecutrice il pagamento delle ritenute (nonché delle retribuzioni e degli oneri previdenziali e assicurativi), possa diventare ulteriore elemento a sostegno della legittimità nel ritardo del pagamento alle imprese dei corrispettivi dovuti, ai sensi di quanto previsto dal successivo comma 9. La previsione contenuta nel comma 6 appare un equo bilanciamento alla sostanziale impossibilità di compensare il versamento delle ritenute effettuate sulle retribuzioni dei lavoratori impegnati nel compimento dell’opera o del servizio affidato, con crediti fiscali vantati dalle imprese esecutrici. Tale previsione, inoltre, appare funzionale alla riduzione del propagarsi delle crisi di impresa limitando l’utilizzo del ritardo nei pagamenti contrattualmente previsti quale forma surrogata ed impropria di finanziamento da parte dei committenti alternativa al ricorso al credito bancario.</w:t>
      </w:r>
    </w:p>
    <w:p w:rsidR="00000000" w:rsidDel="00000000" w:rsidP="00000000" w:rsidRDefault="00000000" w:rsidRPr="00000000" w14:paraId="00000151">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7 </w:t>
      </w:r>
      <w:r w:rsidDel="00000000" w:rsidR="00000000" w:rsidRPr="00000000">
        <w:rPr>
          <w:rFonts w:ascii="Times New Roman" w:cs="Times New Roman" w:eastAsia="Times New Roman" w:hAnsi="Times New Roman"/>
          <w:sz w:val="24"/>
          <w:szCs w:val="24"/>
          <w:highlight w:val="yellow"/>
          <w:rtl w:val="0"/>
        </w:rPr>
        <w:t xml:space="preserve">circoscrive la responsabilità delle imprese appaltatrici e subappaltatrici alla corretta determinazione ed esecuzione delle ritenute alla fonte, laddove abbiano operato secondo quanto previsto dalla disposizione, lasciando invariata la responsabilità (amministrativa e penale) delle stesse per il versamento, </w:t>
      </w:r>
      <w:r w:rsidDel="00000000" w:rsidR="00000000" w:rsidRPr="00000000">
        <w:rPr>
          <w:rFonts w:ascii="Times New Roman" w:cs="Times New Roman" w:eastAsia="Times New Roman" w:hAnsi="Times New Roman"/>
          <w:b w:val="1"/>
          <w:sz w:val="24"/>
          <w:szCs w:val="24"/>
          <w:highlight w:val="yellow"/>
          <w:rtl w:val="0"/>
        </w:rPr>
        <w:t xml:space="preserve">senza possibilità di compensazione,</w:t>
      </w:r>
      <w:r w:rsidDel="00000000" w:rsidR="00000000" w:rsidRPr="00000000">
        <w:rPr>
          <w:rFonts w:ascii="Times New Roman" w:cs="Times New Roman" w:eastAsia="Times New Roman" w:hAnsi="Times New Roman"/>
          <w:sz w:val="24"/>
          <w:szCs w:val="24"/>
          <w:highlight w:val="yellow"/>
          <w:rtl w:val="0"/>
        </w:rPr>
        <w:t xml:space="preserve"> ove non abbiano effettuato il versamento al committente, ovvero non abbiano richiesto a quest’ultimo di eseguire il versamento rivalendosi sui crediti commerciali già maturati.</w:t>
      </w:r>
    </w:p>
    <w:p w:rsidR="00000000" w:rsidDel="00000000" w:rsidP="00000000" w:rsidRDefault="00000000" w:rsidRPr="00000000" w14:paraId="00000152">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8</w:t>
      </w:r>
      <w:r w:rsidDel="00000000" w:rsidR="00000000" w:rsidRPr="00000000">
        <w:rPr>
          <w:rFonts w:ascii="Times New Roman" w:cs="Times New Roman" w:eastAsia="Times New Roman" w:hAnsi="Times New Roman"/>
          <w:sz w:val="24"/>
          <w:szCs w:val="24"/>
          <w:highlight w:val="yellow"/>
          <w:rtl w:val="0"/>
        </w:rPr>
        <w:t xml:space="preserve">, specularmente rispetto al precedente, circoscrive la responsabilità del committente al versamento delle ritenute laddove questi abbia a disposizione la provvista per effettuare lo stesso, nonché tutti i dati necessari all’esecuzione, non rendendolo responsabile per la determinazione degli importi trattenuti ai lavoratori.</w:t>
      </w:r>
    </w:p>
    <w:p w:rsidR="00000000" w:rsidDel="00000000" w:rsidP="00000000" w:rsidRDefault="00000000" w:rsidRPr="00000000" w14:paraId="00000153">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9</w:t>
      </w:r>
      <w:r w:rsidDel="00000000" w:rsidR="00000000" w:rsidRPr="00000000">
        <w:rPr>
          <w:rFonts w:ascii="Times New Roman" w:cs="Times New Roman" w:eastAsia="Times New Roman" w:hAnsi="Times New Roman"/>
          <w:sz w:val="24"/>
          <w:szCs w:val="24"/>
          <w:highlight w:val="yellow"/>
          <w:rtl w:val="0"/>
        </w:rPr>
        <w:t xml:space="preserve"> prevede l’obbligo per i committenti di sospendere i pagamenti all’impresa appaltatrice laddove le imprese affidatarie e subappaltatrici non abbiano provveduto a rendere disponibile la provvista per l’effettuazione del versamento o non abbiano messo a disposizione in tempo utile le informazioni necessarie all’esecuzione dello stesso. Viene previsto inoltre l’obbligo di comunicare all’Agenzia delle entrate l’inadempimento da parte dei propri fornitori, laddove lo stesso permanga per oltre 90 giorni (termine utile per consentire il ravvedimento ai sensi dell’articolo 13 comma 1 lettere a e a-bis del d.lgs. 472/1997).</w:t>
      </w:r>
    </w:p>
    <w:p w:rsidR="00000000" w:rsidDel="00000000" w:rsidP="00000000" w:rsidRDefault="00000000" w:rsidRPr="00000000" w14:paraId="00000154">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10</w:t>
      </w:r>
      <w:r w:rsidDel="00000000" w:rsidR="00000000" w:rsidRPr="00000000">
        <w:rPr>
          <w:rFonts w:ascii="Times New Roman" w:cs="Times New Roman" w:eastAsia="Times New Roman" w:hAnsi="Times New Roman"/>
          <w:sz w:val="24"/>
          <w:szCs w:val="24"/>
          <w:highlight w:val="yellow"/>
          <w:rtl w:val="0"/>
        </w:rPr>
        <w:t xml:space="preserve">, impone ai committenti che abbiano ricevuto i dati e le somme dalle imprese entro 90 giorni dalla scadenza, di eseguire il versamento, eventualmente ravvedendo la violazione, e senza necessità di comunicare il ritardo all’Agenzia delle entrate.</w:t>
      </w:r>
    </w:p>
    <w:p w:rsidR="00000000" w:rsidDel="00000000" w:rsidP="00000000" w:rsidRDefault="00000000" w:rsidRPr="00000000" w14:paraId="00000155">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11 </w:t>
      </w:r>
      <w:r w:rsidDel="00000000" w:rsidR="00000000" w:rsidRPr="00000000">
        <w:rPr>
          <w:rFonts w:ascii="Times New Roman" w:cs="Times New Roman" w:eastAsia="Times New Roman" w:hAnsi="Times New Roman"/>
          <w:sz w:val="24"/>
          <w:szCs w:val="24"/>
          <w:highlight w:val="yellow"/>
          <w:rtl w:val="0"/>
        </w:rPr>
        <w:t xml:space="preserve">impone al committente di comunicare alle imprese l’avvenuto pagamento, per loro conto delle ritenute, e impone alle stesse di allertare l’Agenzia delle entrate, laddove il committente si sia reso inadempiente.</w:t>
      </w:r>
    </w:p>
    <w:p w:rsidR="00000000" w:rsidDel="00000000" w:rsidP="00000000" w:rsidRDefault="00000000" w:rsidRPr="00000000" w14:paraId="00000156">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12 </w:t>
      </w:r>
      <w:r w:rsidDel="00000000" w:rsidR="00000000" w:rsidRPr="00000000">
        <w:rPr>
          <w:rFonts w:ascii="Times New Roman" w:cs="Times New Roman" w:eastAsia="Times New Roman" w:hAnsi="Times New Roman"/>
          <w:sz w:val="24"/>
          <w:szCs w:val="24"/>
          <w:highlight w:val="yellow"/>
          <w:rtl w:val="0"/>
        </w:rPr>
        <w:t xml:space="preserve">prevede delle soglie dimensionali delle imprese che, su opzione, possono avvalersi delle ordinarie procedure di versamento delle ritenute applicate ai propri dipendenti.</w:t>
      </w:r>
    </w:p>
    <w:p w:rsidR="00000000" w:rsidDel="00000000" w:rsidP="00000000" w:rsidRDefault="00000000" w:rsidRPr="00000000" w14:paraId="00000157">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13</w:t>
      </w:r>
      <w:r w:rsidDel="00000000" w:rsidR="00000000" w:rsidRPr="00000000">
        <w:rPr>
          <w:rFonts w:ascii="Times New Roman" w:cs="Times New Roman" w:eastAsia="Times New Roman" w:hAnsi="Times New Roman"/>
          <w:sz w:val="24"/>
          <w:szCs w:val="24"/>
          <w:highlight w:val="yellow"/>
          <w:rtl w:val="0"/>
        </w:rPr>
        <w:t xml:space="preserve"> disciplina le modalità di certificazione delle condizioni di cui al comma 12.</w:t>
      </w:r>
    </w:p>
    <w:p w:rsidR="00000000" w:rsidDel="00000000" w:rsidP="00000000" w:rsidRDefault="00000000" w:rsidRPr="00000000" w14:paraId="00000158">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Il </w:t>
      </w:r>
      <w:r w:rsidDel="00000000" w:rsidR="00000000" w:rsidRPr="00000000">
        <w:rPr>
          <w:rFonts w:ascii="Times New Roman" w:cs="Times New Roman" w:eastAsia="Times New Roman" w:hAnsi="Times New Roman"/>
          <w:b w:val="1"/>
          <w:sz w:val="24"/>
          <w:szCs w:val="24"/>
          <w:highlight w:val="yellow"/>
          <w:rtl w:val="0"/>
        </w:rPr>
        <w:t xml:space="preserve">comma 14</w:t>
      </w:r>
      <w:r w:rsidDel="00000000" w:rsidR="00000000" w:rsidRPr="00000000">
        <w:rPr>
          <w:rFonts w:ascii="Times New Roman" w:cs="Times New Roman" w:eastAsia="Times New Roman" w:hAnsi="Times New Roman"/>
          <w:sz w:val="24"/>
          <w:szCs w:val="24"/>
          <w:highlight w:val="yellow"/>
          <w:rtl w:val="0"/>
        </w:rPr>
        <w:t xml:space="preserve"> rinvia a provvedimenti del direttore dell’Agenzia delle entrate le ulteriori norme procedimentali necessarie per il rilascio e il riscontro della certificazione e consente con lo stesso strumento di definire modalità alternative per la trasmissione dei dati tra committente e imprese.</w:t>
      </w:r>
    </w:p>
    <w:p w:rsidR="00000000" w:rsidDel="00000000" w:rsidP="00000000" w:rsidRDefault="00000000" w:rsidRPr="00000000" w14:paraId="00000159">
      <w:pPr>
        <w:spacing w:after="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5A">
      <w:pPr>
        <w:spacing w:after="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Al fine di rafforzare l’impianto antifrode, il comma 15 stabilisce che le imprese appaltatrici o affidatarie e le imprese subappaltatrici di cui al presente articolo, non possono avvalersi dell’istituto della compensazione quale modalità di estinzione delle obbligazioni relative a contributi previdenziali e assistenziali e premi assicurativi obbligatori, maturati in relazione ai dipendenti di cui al comma 1. Detta esclusione opera con riguardo a tutti i contributi previdenziali, assistenziali e premi assicurativi maturati nel corso di durata del contratto, sulle retribuzioni erogate al personale direttamente impiegato nell’esecuzione delle opere o dei servizi affidati.</w:t>
      </w:r>
    </w:p>
    <w:p w:rsidR="00000000" w:rsidDel="00000000" w:rsidP="00000000" w:rsidRDefault="00000000" w:rsidRPr="00000000" w14:paraId="0000015B">
      <w:pPr>
        <w:spacing w:after="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5C">
      <w:pPr>
        <w:spacing w:after="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16 norma di rinvio alle sanzioni amministrative di cui al d.lgs. 471/1997 da comminare al committente inadempiente;</w:t>
      </w:r>
    </w:p>
    <w:p w:rsidR="00000000" w:rsidDel="00000000" w:rsidP="00000000" w:rsidRDefault="00000000" w:rsidRPr="00000000" w14:paraId="0000015D">
      <w:pPr>
        <w:spacing w:after="0"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15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17. norma di rinvio alle sanzioni penali di cui all’art. 10-bis del d. lgs. 74/2000 da comminare al committente inadempiente.</w:t>
      </w:r>
      <w:r w:rsidDel="00000000" w:rsidR="00000000" w:rsidRPr="00000000">
        <w:rPr>
          <w:rtl w:val="0"/>
        </w:rPr>
      </w:r>
    </w:p>
    <w:p w:rsidR="00000000" w:rsidDel="00000000" w:rsidP="00000000" w:rsidRDefault="00000000" w:rsidRPr="00000000" w14:paraId="0000015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 </w:t>
      </w:r>
    </w:p>
    <w:p w:rsidR="00000000" w:rsidDel="00000000" w:rsidP="00000000" w:rsidRDefault="00000000" w:rsidRPr="00000000" w14:paraId="0000016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2">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La quantificazione si basa sulle risultanze dell’attività operativa, svolta dall’Agenzia delle Entrate, finalizzata a contrastare l’utilizzo dell’illecita somministrazione di manodopera. Gli esiti, relativi ai più recenti anni d’imposta, hanno messo in evidenza che il fenomeno è diffuso su tutto il territorio nazionale in quanto si sono riscontrati casi significativi in 19 delle 21 regioni e province autonome considerate.</w:t>
      </w:r>
    </w:p>
    <w:p w:rsidR="00000000" w:rsidDel="00000000" w:rsidP="00000000" w:rsidRDefault="00000000" w:rsidRPr="00000000" w14:paraId="00000163">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Le maggiori imposte accertate negli anni 2017 e 2018, che comprendono IVA, IIDD-IRAP, ammontano, in media, a circa 120 milioni di euro l’anno, di cui </w:t>
      </w:r>
      <w:r w:rsidDel="00000000" w:rsidR="00000000" w:rsidRPr="00000000">
        <w:rPr>
          <w:rFonts w:ascii="Times New Roman" w:cs="Times New Roman" w:eastAsia="Times New Roman" w:hAnsi="Times New Roman"/>
          <w:b w:val="1"/>
          <w:sz w:val="24"/>
          <w:szCs w:val="24"/>
          <w:highlight w:val="yellow"/>
          <w:rtl w:val="0"/>
        </w:rPr>
        <w:t xml:space="preserve">76 milioni di euro relativi all’IVA</w:t>
      </w:r>
      <w:r w:rsidDel="00000000" w:rsidR="00000000" w:rsidRPr="00000000">
        <w:rPr>
          <w:rFonts w:ascii="Times New Roman" w:cs="Times New Roman" w:eastAsia="Times New Roman" w:hAnsi="Times New Roman"/>
          <w:sz w:val="24"/>
          <w:szCs w:val="24"/>
          <w:highlight w:val="yellow"/>
          <w:rtl w:val="0"/>
        </w:rPr>
        <w:t xml:space="preserve">.  Considerando la capacità operativa dell’Agenzia delle Entrate e alla luce degli specifici criteri di rischio adottati, che tendono a focalizzare l’attenzione sulle tipologie di evasione di maggiore rilevanza, si stima che l’ammontare oggetto di contestazione rappresenti il 15% del fenomeno complessivo. Pertanto, la perdita di gettito teoricamente ed allo stato ascrivibile a questa fattispecie di evasione ammonterebbe a circa </w:t>
      </w:r>
      <w:r w:rsidDel="00000000" w:rsidR="00000000" w:rsidRPr="00000000">
        <w:rPr>
          <w:rFonts w:ascii="Times New Roman" w:cs="Times New Roman" w:eastAsia="Times New Roman" w:hAnsi="Times New Roman"/>
          <w:b w:val="1"/>
          <w:sz w:val="24"/>
          <w:szCs w:val="24"/>
          <w:highlight w:val="yellow"/>
          <w:rtl w:val="0"/>
        </w:rPr>
        <w:t xml:space="preserve">400 milioni di euro annui</w:t>
      </w:r>
      <w:r w:rsidDel="00000000" w:rsidR="00000000" w:rsidRPr="00000000">
        <w:rPr>
          <w:rFonts w:ascii="Times New Roman" w:cs="Times New Roman" w:eastAsia="Times New Roman" w:hAnsi="Times New Roman"/>
          <w:sz w:val="24"/>
          <w:szCs w:val="24"/>
          <w:highlight w:val="yellow"/>
          <w:rtl w:val="0"/>
        </w:rPr>
        <w:t xml:space="preserve">, di cui </w:t>
      </w:r>
      <w:r w:rsidDel="00000000" w:rsidR="00000000" w:rsidRPr="00000000">
        <w:rPr>
          <w:rFonts w:ascii="Times New Roman" w:cs="Times New Roman" w:eastAsia="Times New Roman" w:hAnsi="Times New Roman"/>
          <w:b w:val="1"/>
          <w:sz w:val="24"/>
          <w:szCs w:val="24"/>
          <w:highlight w:val="yellow"/>
          <w:rtl w:val="0"/>
        </w:rPr>
        <w:t xml:space="preserve">255 milioni di euro di IVA</w:t>
      </w:r>
      <w:r w:rsidDel="00000000" w:rsidR="00000000" w:rsidRPr="00000000">
        <w:rPr>
          <w:rFonts w:ascii="Times New Roman" w:cs="Times New Roman" w:eastAsia="Times New Roman" w:hAnsi="Times New Roman"/>
          <w:sz w:val="24"/>
          <w:szCs w:val="24"/>
          <w:highlight w:val="yellow"/>
          <w:rtl w:val="0"/>
        </w:rPr>
        <w:t xml:space="preserve"> e 145 milioni di euro di IIDD - IRAP. </w:t>
      </w:r>
    </w:p>
    <w:p w:rsidR="00000000" w:rsidDel="00000000" w:rsidP="00000000" w:rsidRDefault="00000000" w:rsidRPr="00000000" w14:paraId="00000164">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Considerate le caratteristiche tipiche della fenomenologia in argomento, l’intero ammontare dell’IVA stimata evasa (€ 255 milioni) è costituito, come di seguito rappresentato, per il 30% dall’IVA non versata e fisiologicamente dovuta dall’appaltatore, su cui agirebbe il </w:t>
      </w:r>
      <w:r w:rsidDel="00000000" w:rsidR="00000000" w:rsidRPr="00000000">
        <w:rPr>
          <w:rFonts w:ascii="Times New Roman" w:cs="Times New Roman" w:eastAsia="Times New Roman" w:hAnsi="Times New Roman"/>
          <w:i w:val="1"/>
          <w:sz w:val="24"/>
          <w:szCs w:val="24"/>
          <w:highlight w:val="yellow"/>
          <w:rtl w:val="0"/>
        </w:rPr>
        <w:t xml:space="preserve">reverse charge </w:t>
      </w:r>
      <w:r w:rsidDel="00000000" w:rsidR="00000000" w:rsidRPr="00000000">
        <w:rPr>
          <w:rFonts w:ascii="Times New Roman" w:cs="Times New Roman" w:eastAsia="Times New Roman" w:hAnsi="Times New Roman"/>
          <w:sz w:val="24"/>
          <w:szCs w:val="24"/>
          <w:highlight w:val="yellow"/>
          <w:rtl w:val="0"/>
        </w:rPr>
        <w:t xml:space="preserve">oggetto di separata proposta normativa, e per il 70% dall’IVA a credito fittizia utilizzata dall’appaltatore per versare, mediante modelli F 24, contributi e ritenute relative alle retribuzioni dei lavoratori somministrati.</w:t>
      </w:r>
    </w:p>
    <w:p w:rsidR="00000000" w:rsidDel="00000000" w:rsidP="00000000" w:rsidRDefault="00000000" w:rsidRPr="00000000" w14:paraId="00000165">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Ad esempio, se consideriamo un appaltatore che abbia emesso fatture per € 500 più IVA per € 110, il fenomeno in argomento presenta le caratteristiche che seguono. Il debito IVA fisiologico, pari ad € 110, non viene versato (mediante omissioni dichiarative, omissioni di versamento, o utilizzo di FOI). Il debito per contributi e ritenute (cuneo fiscale), quantificabile in circa il 50% dell’imponibile fatturato (€ 500) e, quindi, in € 250, viene versato mediante compensazione di ulteriore IVA a credito fittizia (mediante esposizione di IVA a credito fittizia direttamente nel mod. F24, o mediante precostituzione di IVA a credito fittizia in dichiarazione IVA). Nell’esempio qui ipotizzato, l’IVA evasa in totale ammonta ad € 360, di cuii) € 110 (pari a circa il 30% del totale) ascrivibile all’IVA dovuta sulle fatture emesse, ii) € 250 (pari a circa il 70% del totale) ascrivibile all’IVA fittizia utilizzata per versare ritenute e contributi </w:t>
      </w:r>
    </w:p>
    <w:p w:rsidR="00000000" w:rsidDel="00000000" w:rsidP="00000000" w:rsidRDefault="00000000" w:rsidRPr="00000000" w14:paraId="00000166">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Pertanto, considerando un’IVA evasa pari ad € 255 milioni, le altre partite di gettito (ritenute e contributi) - nella frode sovente compensate con fittizi crediti IVA o non versate del tutto  risultano pari ad € 178,5 milioni (pari al 70% di 255).  </w:t>
      </w:r>
    </w:p>
    <w:p w:rsidR="00000000" w:rsidDel="00000000" w:rsidP="00000000" w:rsidRDefault="00000000" w:rsidRPr="00000000" w14:paraId="0000016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Considerando, infine, un’incidenza delle ritenute stimabile in misura pari al  40%, il maggior gettito atteso </w:t>
      </w:r>
      <w:r w:rsidDel="00000000" w:rsidR="00000000" w:rsidRPr="00000000">
        <w:rPr>
          <w:rFonts w:ascii="Times New Roman" w:cs="Times New Roman" w:eastAsia="Times New Roman" w:hAnsi="Times New Roman"/>
          <w:b w:val="1"/>
          <w:sz w:val="24"/>
          <w:szCs w:val="24"/>
          <w:highlight w:val="yellow"/>
          <w:rtl w:val="0"/>
        </w:rPr>
        <w:t xml:space="preserve">in relazione al comparto ritenute si attesta sui</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71,4 milioni di euro annui.</w:t>
      </w:r>
      <w:r w:rsidDel="00000000" w:rsidR="00000000" w:rsidRPr="00000000">
        <w:rPr>
          <w:rtl w:val="0"/>
        </w:rPr>
      </w:r>
    </w:p>
    <w:p w:rsidR="00000000" w:rsidDel="00000000" w:rsidP="00000000" w:rsidRDefault="00000000" w:rsidRPr="00000000" w14:paraId="00000168">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6</w:t>
      </w:r>
    </w:p>
    <w:p w:rsidR="00000000" w:rsidDel="00000000" w:rsidP="00000000" w:rsidRDefault="00000000" w:rsidRPr="00000000" w14:paraId="0000016B">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(Contrasto alle frodi in materia di accisa)</w:t>
      </w:r>
    </w:p>
    <w:p w:rsidR="00000000" w:rsidDel="00000000" w:rsidP="00000000" w:rsidRDefault="00000000" w:rsidRPr="00000000" w14:paraId="0000016C">
      <w:pPr>
        <w:tabs>
          <w:tab w:val="left" w:pos="993"/>
        </w:tabs>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D">
      <w:pPr>
        <w:tabs>
          <w:tab w:val="left" w:pos="993"/>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tabs>
          <w:tab w:val="left" w:pos="993"/>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 testo unico delle disposizioni legislative concernenti le imposte sulla produzione e sui consumi e relative sanzioni penali e amministrative, di cui al decreto legislativo 26 ottobre 1995, n. 504, sono apportate le seguenti modificazioni:</w:t>
      </w:r>
    </w:p>
    <w:p w:rsidR="00000000" w:rsidDel="00000000" w:rsidP="00000000" w:rsidRDefault="00000000" w:rsidRPr="00000000" w14:paraId="0000016F">
      <w:pPr>
        <w:spacing w:after="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nell’articolo 6:</w:t>
      </w:r>
    </w:p>
    <w:p w:rsidR="00000000" w:rsidDel="00000000" w:rsidP="00000000" w:rsidRDefault="00000000" w:rsidRPr="00000000" w14:paraId="00000170">
      <w:pPr>
        <w:spacing w:after="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 comma 6, è aggiunto, in fine, il seguente periodo: “La trasmissione della predetta nota è effettuata entro le 24 ore decorrenti dal momento in cui i prodotti sono presi in consegna dal destinatario.”;</w:t>
      </w:r>
    </w:p>
    <w:p w:rsidR="00000000" w:rsidDel="00000000" w:rsidP="00000000" w:rsidRDefault="00000000" w:rsidRPr="00000000" w14:paraId="00000171">
      <w:pPr>
        <w:spacing w:after="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dopo il comma 6, è inserito il seguente: “6-bis. Per i trasferimenti, mediante automezzi, dei prodotti di cui al comma 6, la presa in consegna di cui al medesimo comma 6 si verifica con lo scarico effettivo degli stessi prodotti dal mezzo di trasporto e con l’iscrizione nella contabilità del destinatario, da effettuarsi entro il medesimo giorno in cui hanno termine le operazioni di scarico, dei dati accertati relativi alla qualità e quantità dei prodotti scaricati.”;</w:t>
      </w:r>
    </w:p>
    <w:p w:rsidR="00000000" w:rsidDel="00000000" w:rsidP="00000000" w:rsidRDefault="00000000" w:rsidRPr="00000000" w14:paraId="00000172">
      <w:pPr>
        <w:spacing w:after="0" w:lineRule="auto"/>
        <w:ind w:left="284" w:firstLine="42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nell’articolo 8: </w:t>
      </w:r>
    </w:p>
    <w:p w:rsidR="00000000" w:rsidDel="00000000" w:rsidP="00000000" w:rsidRDefault="00000000" w:rsidRPr="00000000" w14:paraId="00000173">
      <w:pPr>
        <w:tabs>
          <w:tab w:val="left" w:pos="1134"/>
        </w:tabs>
        <w:spacing w:after="0"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dopo il comma 1, è inserito il seguente: “1-bis. Fatto salvo quanto previsto dai commi 5 e 7 in materia di tabacchi lavorati,  l’autorizzazione di cui al comma 1 è negata e l’istruttoria per il relativo rilascio è sospesa allorché ricorrano, nei confronti del soggetto che intende operare come destinatario registrato, rispettivamente le condizioni di cui ai commi 6 e 7 dell’articolo 23; per la sospensione e la revoca della predetta autorizzazione trovano applicazione rispettivamente le disposizioni di cui ai commi 8 e 9 del medesimo articolo 23. Nel caso di persone giuridiche e di società, l'autorizzazione è negata, revocata o sospesa, ovvero il procedimento per il rilascio della stessa è sospeso, allorché le situazioni di cui ai commi da 6 a 9 del medesimo articolo 23 ricorrano, alle condizioni ivi previste, con riferimento a persone che ne rivestono funzioni di rappresentanza, di amministrazione o di direzione, nonché a persone che ne esercitano, anche di fatto, la gestione e il controllo.”;</w:t>
      </w:r>
    </w:p>
    <w:p w:rsidR="00000000" w:rsidDel="00000000" w:rsidP="00000000" w:rsidRDefault="00000000" w:rsidRPr="00000000" w14:paraId="00000174">
      <w:pPr>
        <w:tabs>
          <w:tab w:val="left" w:pos="1276"/>
        </w:tabs>
        <w:spacing w:after="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al comma 3: </w:t>
      </w:r>
    </w:p>
    <w:p w:rsidR="00000000" w:rsidDel="00000000" w:rsidP="00000000" w:rsidRDefault="00000000" w:rsidRPr="00000000" w14:paraId="00000175">
      <w:pPr>
        <w:tabs>
          <w:tab w:val="left" w:pos="1843"/>
        </w:tabs>
        <w:spacing w:after="0" w:lineRule="auto"/>
        <w:ind w:left="14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tab/>
        <w:t xml:space="preserve">nella lettera b), le parole: “di cui al comma 2”, sono sostituite dalle seguenti: “di cui al comma 2 e fatto salvo quanto previsto dall’articolo 6, comma 6-bis”;  </w:t>
      </w:r>
    </w:p>
    <w:p w:rsidR="00000000" w:rsidDel="00000000" w:rsidP="00000000" w:rsidRDefault="00000000" w:rsidRPr="00000000" w14:paraId="00000176">
      <w:pPr>
        <w:tabs>
          <w:tab w:val="left" w:pos="1418"/>
          <w:tab w:val="left" w:pos="1843"/>
        </w:tabs>
        <w:spacing w:after="0" w:lineRule="auto"/>
        <w:ind w:left="14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tab/>
        <w:t xml:space="preserve">la lettera c) è sostituita dalla seguente: “c) sottoporsi a qualsiasi controllo o accertamento anche intesi a verificare l’effettivo ricevimento dei prodotti di cui alla lettera a) che, qualora allo stato sfuso, sono travasati nei serbatoi, riservati ai prodotti ricevuti in regime sospensivo, del deposito di cui al comma 1 nonché a riscontrare l’avvenuto pagamento dell'accisa.”.</w:t>
      </w:r>
    </w:p>
    <w:p w:rsidR="00000000" w:rsidDel="00000000" w:rsidP="00000000" w:rsidRDefault="00000000" w:rsidRPr="00000000" w14:paraId="00000177">
      <w:pPr>
        <w:spacing w:after="0" w:lineRule="auto"/>
        <w:ind w:left="364" w:firstLine="3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nell’articolo 25: </w:t>
      </w:r>
    </w:p>
    <w:p w:rsidR="00000000" w:rsidDel="00000000" w:rsidP="00000000" w:rsidRDefault="00000000" w:rsidRPr="00000000" w14:paraId="00000178">
      <w:pPr>
        <w:tabs>
          <w:tab w:val="left" w:pos="1843"/>
        </w:tabs>
        <w:spacing w:after="0" w:lineRule="auto"/>
        <w:ind w:left="14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 comma 2:</w:t>
      </w:r>
    </w:p>
    <w:p w:rsidR="00000000" w:rsidDel="00000000" w:rsidP="00000000" w:rsidRDefault="00000000" w:rsidRPr="00000000" w14:paraId="00000179">
      <w:pPr>
        <w:tabs>
          <w:tab w:val="left" w:pos="1843"/>
        </w:tabs>
        <w:spacing w:after="0" w:lineRule="auto"/>
        <w:ind w:left="2127" w:hanging="425.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nella lettera a), le parole: “25 metri cubi” sono sostituite dalle seguenti: “10 metri cubi”;</w:t>
      </w:r>
    </w:p>
    <w:p w:rsidR="00000000" w:rsidDel="00000000" w:rsidP="00000000" w:rsidRDefault="00000000" w:rsidRPr="00000000" w14:paraId="0000017A">
      <w:pPr>
        <w:tabs>
          <w:tab w:val="left" w:pos="1843"/>
        </w:tabs>
        <w:spacing w:after="0" w:lineRule="auto"/>
        <w:ind w:left="2127" w:hanging="425.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nella lettera c), le parole: “10 metri cubi” sono sostituite dalle seguenti: “5 metri cubi”. </w:t>
      </w:r>
    </w:p>
    <w:p w:rsidR="00000000" w:rsidDel="00000000" w:rsidP="00000000" w:rsidRDefault="00000000" w:rsidRPr="00000000" w14:paraId="0000017B">
      <w:pPr>
        <w:tabs>
          <w:tab w:val="left" w:pos="1843"/>
        </w:tabs>
        <w:spacing w:after="0" w:lineRule="auto"/>
        <w:ind w:left="1701" w:hanging="283.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 comma 4 è aggiunto, in fine, il seguente periodo: “Gli esercenti depositi di cui al comma 2, lettera a), aventi capacità superiore a 10 metri cubi e non superiore a 25 metri cubi nonché gli esercenti impianti di cui al comma 2, lettera c), collegati a serbatoi la cui capacità globale risulti superiore a 5 metri cubi e non superiore a 10 metri cubi tengono il registro di carico e scarico con modalità semplificate da stabilire con determinazione del direttore dell’Agenzia delle dogane e dei monopoli.”. </w:t>
      </w:r>
    </w:p>
    <w:p w:rsidR="00000000" w:rsidDel="00000000" w:rsidP="00000000" w:rsidRDefault="00000000" w:rsidRPr="00000000" w14:paraId="0000017C">
      <w:pPr>
        <w:tabs>
          <w:tab w:val="left" w:pos="1843"/>
        </w:tabs>
        <w:spacing w:after="0" w:lineRule="auto"/>
        <w:ind w:left="14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dopo il comma 6, è inserito il seguente: “6-bis. La licenza di cui al comma 4 è negata al soggetto nei cui confronti, nel quinquiennio antecedente la richiesta, sia stata pronunciata sentenza irrevocabile di condanna ai sensi dell'articolo 648 del codice di procedura penale, ovvero sentenza definitiva di applicazione della pena su richiesta, ai sensi dell'articolo 444 del codice di procedura penale, per violazioni costituenti delitti, in materia di accisa, punibili con la reclusione non inferiore nel minimo ad un anno; l'istruttoria per il rilascio della predetta licenza è sospesa fino al passaggio in giudicato della sentenza conclusiva del procedimento penale, qualora nei confronti del soggetto istante sia stato emesso, ai sensi dell'articolo 424 del codice di procedura penale, decreto che dispone il giudizio per una delle violazioni di cui al presente comma.”;</w:t>
      </w:r>
    </w:p>
    <w:p w:rsidR="00000000" w:rsidDel="00000000" w:rsidP="00000000" w:rsidRDefault="00000000" w:rsidRPr="00000000" w14:paraId="0000017D">
      <w:pPr>
        <w:spacing w:after="0" w:lineRule="auto"/>
        <w:ind w:left="1985" w:hanging="566.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al comma 7, le parole: “nonché l'esclusione dal rilascio di altra licenza per un periodo di 5 anni”, sono soppresse;  </w:t>
      </w:r>
    </w:p>
    <w:p w:rsidR="00000000" w:rsidDel="00000000" w:rsidP="00000000" w:rsidRDefault="00000000" w:rsidRPr="00000000" w14:paraId="0000017E">
      <w:pPr>
        <w:tabs>
          <w:tab w:val="left" w:pos="1985"/>
        </w:tabs>
        <w:spacing w:after="0" w:lineRule="auto"/>
        <w:ind w:left="1985" w:hanging="566.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al comma 9, le parole “anche a mezzo fax”, sono sostituite dalle seguenti: “unicamente attraverso modalità telematiche”;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17F">
      <w:pPr>
        <w:spacing w:after="0" w:lineRule="auto"/>
        <w:ind w:left="364" w:firstLine="34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all’articolo 28, dopo il comma 7, è aggiunto il seguente: “7-bis. Per gli impianti disciplinati dal presente articolo si applicano le disposizioni di cui all’articolo 23, commi 6, 7, 8, 9, 10, e 11.”</w:t>
      </w:r>
    </w:p>
    <w:p w:rsidR="00000000" w:rsidDel="00000000" w:rsidP="00000000" w:rsidRDefault="00000000" w:rsidRPr="00000000" w14:paraId="00000180">
      <w:pPr>
        <w:tabs>
          <w:tab w:val="left" w:pos="284"/>
        </w:tabs>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 determinazione del direttore dell’Agenzia delle dogane e dei monopoli di cui all’articolo 25, comma 4, del testo unico delle disposizioni legislative concernenti le imposte sulla produzione e sui consumi e relative sanzioni penali e amministrative, di cui al decreto legislativo 26 ottobre 1995, n. 504, è adottata entro 60 giorni dalla data di entrata in vigore del presente decreto-legge. Le disposizioni di cui al comma 1, lettera c), punti 1 e 2, hanno efficacia a decorrere dal primo giorno del quarto mese successivo alla data di pubblicazione della predetta determinazione nel sito internet della predetta Agenzia. </w:t>
      </w:r>
    </w:p>
    <w:p w:rsidR="00000000" w:rsidDel="00000000" w:rsidP="00000000" w:rsidRDefault="00000000" w:rsidRPr="00000000" w14:paraId="00000181">
      <w:pPr>
        <w:tabs>
          <w:tab w:val="left" w:pos="284"/>
        </w:tabs>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Le disposizioni di cui al comma 1, lettera a), punto 1, hanno efficacia a decorrere dal 1° novembre 2019. Le disposizioni di cui al comma 1, lettera b), punto 1, al comma 1, lettera c), punto 5 e al comma 1, lettera d) del presente articolo hanno efficacia a decorrere dal 1° gennaio 2020. </w:t>
      </w:r>
    </w:p>
    <w:p w:rsidR="00000000" w:rsidDel="00000000" w:rsidP="00000000" w:rsidRDefault="00000000" w:rsidRPr="00000000" w14:paraId="00000182">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8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illustrativa</w:t>
      </w:r>
    </w:p>
    <w:p w:rsidR="00000000" w:rsidDel="00000000" w:rsidP="00000000" w:rsidRDefault="00000000" w:rsidRPr="00000000" w14:paraId="0000018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prodotti energetici impiegati come carburanti per autotrazione e come combustibili per riscaldamento sono sottoposti ad accisa ai sensi dell’articolo 21 del testo unico delle accise (d’ora in avanti indicato come TUA). Occorre premettere che, al fine di contrastare taluni fenomeni fraudolenti finalizzati all’evasione sistematica dell’IVA per le cessioni di prodotti carburanti (nello specifico benzina e gasolio), il legislatore nazionale aveva introdotto, con l’articolo 1, commi da 937 a 959, della legge 27 dicembre 2017, n. 205 - legge di bilancio per l’anno 2018 – specifiche disposizioni che impongono, tra l’altro, il pagamento anticipato del predetto tributo al momento dell’estrazione dei prodotti in parola dai depositi dei destinatari registrati e dei depositari autorizzati di cui rispettivamente agli articoli 8 e 23 del TUA. In considerazione del perdurare di talune situazioni fraudolenti nel settore commerciale in argomento e dell’elevata fiscalità complessiva a cui i prodotti carburanti e combustibili in questione sono sottoposti in quanto soggetti anche al regime dell’accisa, pare indispensabile rafforzare l’efficacia delle citate disposizioni antifrode attraverso l’adozione di specifiche norme volte a prevenire l’insorgenza di ulteriori e diversi fenomeni di frode fiscale anche in ambito accisa. Tale intervento riguarda, innanzitutto, il sistema di informatizzazione e monitoraggio per via telematica delle movimentazioni dei prodotti sottoposti ad accisa in regime sospensivo (sistema EMCS) che consente, all’Amministrazione finanziaria, di monitorare ogni trasferimento dei prodotti energetici in questione tra un deposito fiscale, nazionale o unionale, e il deposito di uno dei menzionati soggetti obbligati di cui agli articoli 8 e 23 del TUA. Per le finalità sopra indicate e con lo scopo preciso di evitare l’uso irregolare dei documenti e-AD monitorati dal predetto sistema EMCS (ad esempio viaggi multipli certificati da un medesimo e-AD), si è provveduto ad introdurre un termine temporale maggiormente restrittivo, rispetto all’attuale, entro il quale il predetto regime sospensivo deve obbligatoriamente concludersi. Inoltre si rileva che si è ritenuto necessario predisporre anche talune disposizioni volte a uniformare e coordinare i requisiti di affidabilità e onorabilità che i soggetti, operanti nei vari passaggi della filiera distributiva dei prodotti carburanti in questione, devono possedere. In particolare, si è ritenuto opportuno introdurre disposizioni volte a colmare talune lacune presenti negli articoli 8 e 25 del TUA, con particolare riguardo ai requisiti di onorabilità dei soggetti che operano nel settore dei prodotti sottoposti ad accisa. Parimenti, sempre allo scopo di prevenire il verificarsi dei predetti fenomeni frodatori nel settore dei carburanti e combustibili, il medesimo articolo 25 è stato innovato modificando, in parte, i limiti di capacità previsti per i depositi per uso privato, agricolo e industriale nonché per i serbatoi cui sono collegati gli apparecchi di distribuzione automatica di carburanti per usi privati, agricoli ed industriali. Infine, per completare la disciplina in materia di requisiti soggettivi che devono possedere i soggetti obbligati al pagamento dell’accisa, si è provveduto ad integrare le disposizioni di cui all’articolo 28 del TUA, concernente i depositi fiscali di alcole e bevande alcoliche ed in particolare il regime autorizzatorio cui sono assoggettati, recentemente innovato dall’art. 4-ter, lettera i), del decreto-legge n. 193/2016, convertito, con modificazioni, dalla legge n. 225/2016. Tanto premesso si illustra che, con il </w:t>
      </w:r>
      <w:r w:rsidDel="00000000" w:rsidR="00000000" w:rsidRPr="00000000">
        <w:rPr>
          <w:rFonts w:ascii="Times New Roman" w:cs="Times New Roman" w:eastAsia="Times New Roman" w:hAnsi="Times New Roman"/>
          <w:b w:val="1"/>
          <w:sz w:val="24"/>
          <w:szCs w:val="24"/>
          <w:rtl w:val="0"/>
        </w:rPr>
        <w:t xml:space="preserve">comma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lettera a), dell’articolo in illustrazione, si </w:t>
      </w:r>
      <w:r w:rsidDel="00000000" w:rsidR="00000000" w:rsidRPr="00000000">
        <w:rPr>
          <w:rFonts w:ascii="Times New Roman" w:cs="Times New Roman" w:eastAsia="Times New Roman" w:hAnsi="Times New Roman"/>
          <w:sz w:val="24"/>
          <w:szCs w:val="24"/>
          <w:rtl w:val="0"/>
        </w:rPr>
        <w:t xml:space="preserve">provvede a modificare, come sopra accennato,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l’articolo 6 del TUA prevedendo, in particolare, </w:t>
      </w:r>
      <w:r w:rsidDel="00000000" w:rsidR="00000000" w:rsidRPr="00000000">
        <w:rPr>
          <w:rFonts w:ascii="Times New Roman" w:cs="Times New Roman" w:eastAsia="Times New Roman" w:hAnsi="Times New Roman"/>
          <w:b w:val="1"/>
          <w:sz w:val="24"/>
          <w:szCs w:val="24"/>
          <w:rtl w:val="0"/>
        </w:rPr>
        <w:t xml:space="preserve">(punto 1)</w:t>
      </w:r>
      <w:r w:rsidDel="00000000" w:rsidR="00000000" w:rsidRPr="00000000">
        <w:rPr>
          <w:rFonts w:ascii="Times New Roman" w:cs="Times New Roman" w:eastAsia="Times New Roman" w:hAnsi="Times New Roman"/>
          <w:sz w:val="24"/>
          <w:szCs w:val="24"/>
          <w:rtl w:val="0"/>
        </w:rPr>
        <w:t xml:space="preserve">, un termine stringente (ventiquattr’ore dal momento in cui i prodotti sono presi in consegna dal destinatario) per la trasmissione della nota di ricevimento prevista, dal medesimo articolo 6, per la chiusura del regime sospensivo relativo alla circolazione di prodotti soggetti ad accisa. Attualmente, al riguardo, la disciplina nazionale, opera un implicito rinvio a quanto stabilito in merito dalla direttiva del Consiglio 16 dicembre 2008, n. 2008/118/CE, relativa al regime generale delle accise e, in particolare, dall’articolo 24, paragrafo 1, che stabilisce l’obbligo del destinatario di presentare </w:t>
      </w:r>
      <w:r w:rsidDel="00000000" w:rsidR="00000000" w:rsidRPr="00000000">
        <w:rPr>
          <w:rFonts w:ascii="Times New Roman" w:cs="Times New Roman" w:eastAsia="Times New Roman" w:hAnsi="Times New Roman"/>
          <w:i w:val="1"/>
          <w:sz w:val="24"/>
          <w:szCs w:val="24"/>
          <w:rtl w:val="0"/>
        </w:rPr>
        <w:t xml:space="preserve">“senza indugio e non oltre 5 giorni lavorativi dopo la conclusione della circolazione”</w:t>
      </w:r>
      <w:r w:rsidDel="00000000" w:rsidR="00000000" w:rsidRPr="00000000">
        <w:rPr>
          <w:rFonts w:ascii="Times New Roman" w:cs="Times New Roman" w:eastAsia="Times New Roman" w:hAnsi="Times New Roman"/>
          <w:sz w:val="24"/>
          <w:szCs w:val="24"/>
          <w:rtl w:val="0"/>
        </w:rPr>
        <w:t xml:space="preserve"> una nota attestante il ricevimento dei prodotti sopra menzionati. Tale termine viene ora fissato in ventiquattro ore dal momento della presa in consegna, da parte del soggetto ricevente, dei prodotti in questione.  Il successivo </w:t>
      </w:r>
      <w:r w:rsidDel="00000000" w:rsidR="00000000" w:rsidRPr="00000000">
        <w:rPr>
          <w:rFonts w:ascii="Times New Roman" w:cs="Times New Roman" w:eastAsia="Times New Roman" w:hAnsi="Times New Roman"/>
          <w:b w:val="1"/>
          <w:sz w:val="24"/>
          <w:szCs w:val="24"/>
          <w:rtl w:val="0"/>
        </w:rPr>
        <w:t xml:space="preserve">punto 2), </w:t>
      </w:r>
      <w:r w:rsidDel="00000000" w:rsidR="00000000" w:rsidRPr="00000000">
        <w:rPr>
          <w:rFonts w:ascii="Times New Roman" w:cs="Times New Roman" w:eastAsia="Times New Roman" w:hAnsi="Times New Roman"/>
          <w:sz w:val="24"/>
          <w:szCs w:val="24"/>
          <w:rtl w:val="0"/>
        </w:rPr>
        <w:t xml:space="preserve">della suddetta</w:t>
      </w:r>
      <w:r w:rsidDel="00000000" w:rsidR="00000000" w:rsidRPr="00000000">
        <w:rPr>
          <w:rFonts w:ascii="Times New Roman" w:cs="Times New Roman" w:eastAsia="Times New Roman" w:hAnsi="Times New Roman"/>
          <w:b w:val="1"/>
          <w:sz w:val="24"/>
          <w:szCs w:val="24"/>
          <w:rtl w:val="0"/>
        </w:rPr>
        <w:t xml:space="preserve"> lettera a)</w:t>
      </w:r>
      <w:r w:rsidDel="00000000" w:rsidR="00000000" w:rsidRPr="00000000">
        <w:rPr>
          <w:rFonts w:ascii="Times New Roman" w:cs="Times New Roman" w:eastAsia="Times New Roman" w:hAnsi="Times New Roman"/>
          <w:sz w:val="24"/>
          <w:szCs w:val="24"/>
          <w:rtl w:val="0"/>
        </w:rPr>
        <w:t xml:space="preserve"> prevede, attraverso l’inserimento di un nuovo comma 6-bis nel predetto articolo 6 del TUA, a corollario e chiarimento di quanto stabilito dal citato </w:t>
      </w:r>
      <w:r w:rsidDel="00000000" w:rsidR="00000000" w:rsidRPr="00000000">
        <w:rPr>
          <w:rFonts w:ascii="Times New Roman" w:cs="Times New Roman" w:eastAsia="Times New Roman" w:hAnsi="Times New Roman"/>
          <w:b w:val="1"/>
          <w:sz w:val="24"/>
          <w:szCs w:val="24"/>
          <w:rtl w:val="0"/>
        </w:rPr>
        <w:t xml:space="preserve">punto 1, </w:t>
      </w:r>
      <w:r w:rsidDel="00000000" w:rsidR="00000000" w:rsidRPr="00000000">
        <w:rPr>
          <w:rFonts w:ascii="Times New Roman" w:cs="Times New Roman" w:eastAsia="Times New Roman" w:hAnsi="Times New Roman"/>
          <w:sz w:val="24"/>
          <w:szCs w:val="24"/>
          <w:rtl w:val="0"/>
        </w:rPr>
        <w:t xml:space="preserve">che, qualora il trasporto degli anzidetti prodotti in sospensione di accisa sia effettuato con automezzi, il destinatario prenda in consegna i prodotti attraverso lo scarico effettivo degli stessi dal mezzo di trasporto e l’annotazione nella contabilità, entro lo stesso giorno, dei dati relativi alla qualità e quantità degli stessi prodotti scaricati.  Con la </w:t>
      </w:r>
      <w:r w:rsidDel="00000000" w:rsidR="00000000" w:rsidRPr="00000000">
        <w:rPr>
          <w:rFonts w:ascii="Times New Roman" w:cs="Times New Roman" w:eastAsia="Times New Roman" w:hAnsi="Times New Roman"/>
          <w:b w:val="1"/>
          <w:sz w:val="24"/>
          <w:szCs w:val="24"/>
          <w:rtl w:val="0"/>
        </w:rPr>
        <w:t xml:space="preserve">lettera b) </w:t>
      </w:r>
      <w:r w:rsidDel="00000000" w:rsidR="00000000" w:rsidRPr="00000000">
        <w:rPr>
          <w:rFonts w:ascii="Times New Roman" w:cs="Times New Roman" w:eastAsia="Times New Roman" w:hAnsi="Times New Roman"/>
          <w:sz w:val="24"/>
          <w:szCs w:val="24"/>
          <w:rtl w:val="0"/>
        </w:rPr>
        <w:t xml:space="preserve">del</w:t>
      </w:r>
      <w:r w:rsidDel="00000000" w:rsidR="00000000" w:rsidRPr="00000000">
        <w:rPr>
          <w:rFonts w:ascii="Times New Roman" w:cs="Times New Roman" w:eastAsia="Times New Roman" w:hAnsi="Times New Roman"/>
          <w:b w:val="1"/>
          <w:sz w:val="24"/>
          <w:szCs w:val="24"/>
          <w:rtl w:val="0"/>
        </w:rPr>
        <w:t xml:space="preserve"> comma 1 </w:t>
      </w:r>
      <w:r w:rsidDel="00000000" w:rsidR="00000000" w:rsidRPr="00000000">
        <w:rPr>
          <w:rFonts w:ascii="Times New Roman" w:cs="Times New Roman" w:eastAsia="Times New Roman" w:hAnsi="Times New Roman"/>
          <w:sz w:val="24"/>
          <w:szCs w:val="24"/>
          <w:rtl w:val="0"/>
        </w:rPr>
        <w:t xml:space="preserve">in illustrazione, si provvede a modificare (</w:t>
      </w:r>
      <w:r w:rsidDel="00000000" w:rsidR="00000000" w:rsidRPr="00000000">
        <w:rPr>
          <w:rFonts w:ascii="Times New Roman" w:cs="Times New Roman" w:eastAsia="Times New Roman" w:hAnsi="Times New Roman"/>
          <w:b w:val="1"/>
          <w:sz w:val="24"/>
          <w:szCs w:val="24"/>
          <w:rtl w:val="0"/>
        </w:rPr>
        <w:t xml:space="preserve">punto 1)</w:t>
      </w:r>
      <w:r w:rsidDel="00000000" w:rsidR="00000000" w:rsidRPr="00000000">
        <w:rPr>
          <w:rFonts w:ascii="Times New Roman" w:cs="Times New Roman" w:eastAsia="Times New Roman" w:hAnsi="Times New Roman"/>
          <w:sz w:val="24"/>
          <w:szCs w:val="24"/>
          <w:rtl w:val="0"/>
        </w:rPr>
        <w:t xml:space="preserve">, l’articolo 8 del TUA inserendo in esso innanzitutto un apposito comma (1-bis) allo scopo di prevedere, anche per il destinatario registrato, requisiti di onorabilità ai fini del rilascio, sospensione e revoca dell’autorizzazione ad operare con tale qualifica, requisiti oggi non previsti. Ciò in considerazione della particolare sensibilità fiscale legata a tale soggetto che può ricevere prodotti ad elevata tassazione sui quali non risulta ancora versata l’accisa al momento del loro ricevimento. I predetti requisiti, in particolare, sono stati mutuati dalla disciplina contenuta nell’articolo 23 del TUA in materia di autorizzazione all’esercizio di un deposito fiscale. La medesima </w:t>
      </w:r>
      <w:r w:rsidDel="00000000" w:rsidR="00000000" w:rsidRPr="00000000">
        <w:rPr>
          <w:rFonts w:ascii="Times New Roman" w:cs="Times New Roman" w:eastAsia="Times New Roman" w:hAnsi="Times New Roman"/>
          <w:b w:val="1"/>
          <w:sz w:val="24"/>
          <w:szCs w:val="24"/>
          <w:rtl w:val="0"/>
        </w:rPr>
        <w:t xml:space="preserve">lettera b),</w:t>
      </w:r>
      <w:r w:rsidDel="00000000" w:rsidR="00000000" w:rsidRPr="00000000">
        <w:rPr>
          <w:rFonts w:ascii="Times New Roman" w:cs="Times New Roman" w:eastAsia="Times New Roman" w:hAnsi="Times New Roman"/>
          <w:sz w:val="24"/>
          <w:szCs w:val="24"/>
          <w:rtl w:val="0"/>
        </w:rPr>
        <w:t xml:space="preserve"> inoltre, al</w:t>
      </w:r>
      <w:r w:rsidDel="00000000" w:rsidR="00000000" w:rsidRPr="00000000">
        <w:rPr>
          <w:rFonts w:ascii="Times New Roman" w:cs="Times New Roman" w:eastAsia="Times New Roman" w:hAnsi="Times New Roman"/>
          <w:b w:val="1"/>
          <w:sz w:val="24"/>
          <w:szCs w:val="24"/>
          <w:rtl w:val="0"/>
        </w:rPr>
        <w:t xml:space="preserve"> punto 2),</w:t>
      </w:r>
      <w:r w:rsidDel="00000000" w:rsidR="00000000" w:rsidRPr="00000000">
        <w:rPr>
          <w:rFonts w:ascii="Times New Roman" w:cs="Times New Roman" w:eastAsia="Times New Roman" w:hAnsi="Times New Roman"/>
          <w:sz w:val="24"/>
          <w:szCs w:val="24"/>
          <w:rtl w:val="0"/>
        </w:rPr>
        <w:t xml:space="preserve"> apporta modifiche anche al comma 3, del citato articolo 8, al fine di stabilire, in particolare, in modo esplicito l’obbligo per i soggetti in questione, qualora ricevano prodotti sfusi in regime sospensivo, di trasferirli fisicamente nei propri specifici serbatoi riservati a tale tipologia di prodotto. Con la </w:t>
      </w:r>
      <w:r w:rsidDel="00000000" w:rsidR="00000000" w:rsidRPr="00000000">
        <w:rPr>
          <w:rFonts w:ascii="Times New Roman" w:cs="Times New Roman" w:eastAsia="Times New Roman" w:hAnsi="Times New Roman"/>
          <w:b w:val="1"/>
          <w:sz w:val="24"/>
          <w:szCs w:val="24"/>
          <w:rtl w:val="0"/>
        </w:rPr>
        <w:t xml:space="preserve">lettera c)</w:t>
      </w:r>
      <w:r w:rsidDel="00000000" w:rsidR="00000000" w:rsidRPr="00000000">
        <w:rPr>
          <w:rFonts w:ascii="Times New Roman" w:cs="Times New Roman" w:eastAsia="Times New Roman" w:hAnsi="Times New Roman"/>
          <w:sz w:val="24"/>
          <w:szCs w:val="24"/>
          <w:rtl w:val="0"/>
        </w:rPr>
        <w:t xml:space="preserve">, del </w:t>
      </w:r>
      <w:r w:rsidDel="00000000" w:rsidR="00000000" w:rsidRPr="00000000">
        <w:rPr>
          <w:rFonts w:ascii="Times New Roman" w:cs="Times New Roman" w:eastAsia="Times New Roman" w:hAnsi="Times New Roman"/>
          <w:b w:val="1"/>
          <w:sz w:val="24"/>
          <w:szCs w:val="24"/>
          <w:rtl w:val="0"/>
        </w:rPr>
        <w:t xml:space="preserve">comma 1 </w:t>
      </w:r>
      <w:r w:rsidDel="00000000" w:rsidR="00000000" w:rsidRPr="00000000">
        <w:rPr>
          <w:rFonts w:ascii="Times New Roman" w:cs="Times New Roman" w:eastAsia="Times New Roman" w:hAnsi="Times New Roman"/>
          <w:sz w:val="24"/>
          <w:szCs w:val="24"/>
          <w:rtl w:val="0"/>
        </w:rPr>
        <w:t xml:space="preserve">in illustrazione, sono state apportate modifiche alla disciplina dell’articolo 25 del TUA innanzitutto </w:t>
      </w:r>
      <w:r w:rsidDel="00000000" w:rsidR="00000000" w:rsidRPr="00000000">
        <w:rPr>
          <w:rFonts w:ascii="Times New Roman" w:cs="Times New Roman" w:eastAsia="Times New Roman" w:hAnsi="Times New Roman"/>
          <w:b w:val="1"/>
          <w:sz w:val="24"/>
          <w:szCs w:val="24"/>
          <w:rtl w:val="0"/>
        </w:rPr>
        <w:t xml:space="preserve">(punto 1)</w:t>
      </w:r>
      <w:r w:rsidDel="00000000" w:rsidR="00000000" w:rsidRPr="00000000">
        <w:rPr>
          <w:rFonts w:ascii="Times New Roman" w:cs="Times New Roman" w:eastAsia="Times New Roman" w:hAnsi="Times New Roman"/>
          <w:sz w:val="24"/>
          <w:szCs w:val="24"/>
          <w:rtl w:val="0"/>
        </w:rPr>
        <w:t xml:space="preserve"> attraverso la riduzione del limite di capacità previsto per i depositi per uso privato, agricolo e industriale (da 25 a 10 metri cubi) nonché di quello previsto per i serbatoi cui sono collegati gli apparecchi di distribuzione automatica di carburanti per usi privati, agricoli ed industriali (da 10 a 5 metri cubi). La modifica in questione consentirà di avere un più accurato censimento dei soggetti che hanno a disposizione serbatoi, di prodotti energetici, di capacità comunque non irrilevante sotto il profilo tributario e che oggi risultano del tutto sconosciuti all’Amministrazione finanziaria. Al fine di non gravare oltremodo i nuovi operatori che, a seguito della predetta modifica, sono tenuti a munirsi di licenza fiscale ed a tenere la contabilità prescritta dal predetto articolo 25, si stabilisce </w:t>
      </w:r>
      <w:r w:rsidDel="00000000" w:rsidR="00000000" w:rsidRPr="00000000">
        <w:rPr>
          <w:rFonts w:ascii="Times New Roman" w:cs="Times New Roman" w:eastAsia="Times New Roman" w:hAnsi="Times New Roman"/>
          <w:b w:val="1"/>
          <w:sz w:val="24"/>
          <w:szCs w:val="24"/>
          <w:rtl w:val="0"/>
        </w:rPr>
        <w:t xml:space="preserve">(punto 2)</w:t>
      </w:r>
      <w:r w:rsidDel="00000000" w:rsidR="00000000" w:rsidRPr="00000000">
        <w:rPr>
          <w:rFonts w:ascii="Times New Roman" w:cs="Times New Roman" w:eastAsia="Times New Roman" w:hAnsi="Times New Roman"/>
          <w:sz w:val="24"/>
          <w:szCs w:val="24"/>
          <w:rtl w:val="0"/>
        </w:rPr>
        <w:t xml:space="preserve"> che con Determinazione del Direttore dell’Agenzia dogane e monopoli siano previste modalità semplificate per la tenuta della medesima contabilità. Con la medesima </w:t>
      </w:r>
      <w:r w:rsidDel="00000000" w:rsidR="00000000" w:rsidRPr="00000000">
        <w:rPr>
          <w:rFonts w:ascii="Times New Roman" w:cs="Times New Roman" w:eastAsia="Times New Roman" w:hAnsi="Times New Roman"/>
          <w:b w:val="1"/>
          <w:sz w:val="24"/>
          <w:szCs w:val="24"/>
          <w:rtl w:val="0"/>
        </w:rPr>
        <w:t xml:space="preserve">lettera c)</w:t>
      </w:r>
      <w:r w:rsidDel="00000000" w:rsidR="00000000" w:rsidRPr="00000000">
        <w:rPr>
          <w:rFonts w:ascii="Times New Roman" w:cs="Times New Roman" w:eastAsia="Times New Roman" w:hAnsi="Times New Roman"/>
          <w:sz w:val="24"/>
          <w:szCs w:val="24"/>
          <w:rtl w:val="0"/>
        </w:rPr>
        <w:t xml:space="preserve">, inoltre, si provvede </w:t>
      </w:r>
      <w:r w:rsidDel="00000000" w:rsidR="00000000" w:rsidRPr="00000000">
        <w:rPr>
          <w:rFonts w:ascii="Times New Roman" w:cs="Times New Roman" w:eastAsia="Times New Roman" w:hAnsi="Times New Roman"/>
          <w:b w:val="1"/>
          <w:sz w:val="24"/>
          <w:szCs w:val="24"/>
          <w:rtl w:val="0"/>
        </w:rPr>
        <w:t xml:space="preserve">(punto 3)</w:t>
      </w:r>
      <w:r w:rsidDel="00000000" w:rsidR="00000000" w:rsidRPr="00000000">
        <w:rPr>
          <w:rFonts w:ascii="Times New Roman" w:cs="Times New Roman" w:eastAsia="Times New Roman" w:hAnsi="Times New Roman"/>
          <w:sz w:val="24"/>
          <w:szCs w:val="24"/>
          <w:rtl w:val="0"/>
        </w:rPr>
        <w:t xml:space="preserve"> ad inserire, nel medesimo articolo 25, il nuovo comma 6-bis, che disciplina le fattispecie, non attualmente contemplate, in relazione alle quali è negato il rilascio della licenza di esercizio prevista dallo stesso articolo 25; parimenti il predetto comma 6-bis stabilisce le condizioni per cui l’istruttoria inerente il rilascio della medesima licenza deve essere sospesa. Con il </w:t>
      </w:r>
      <w:r w:rsidDel="00000000" w:rsidR="00000000" w:rsidRPr="00000000">
        <w:rPr>
          <w:rFonts w:ascii="Times New Roman" w:cs="Times New Roman" w:eastAsia="Times New Roman" w:hAnsi="Times New Roman"/>
          <w:b w:val="1"/>
          <w:sz w:val="24"/>
          <w:szCs w:val="24"/>
          <w:rtl w:val="0"/>
        </w:rPr>
        <w:t xml:space="preserve">punto 5 </w:t>
      </w:r>
      <w:r w:rsidDel="00000000" w:rsidR="00000000" w:rsidRPr="00000000">
        <w:rPr>
          <w:rFonts w:ascii="Times New Roman" w:cs="Times New Roman" w:eastAsia="Times New Roman" w:hAnsi="Times New Roman"/>
          <w:sz w:val="24"/>
          <w:szCs w:val="24"/>
          <w:rtl w:val="0"/>
        </w:rPr>
        <w:t xml:space="preserve">sono aggiornate le modalità per la trasmissione degli avvisi già previsti dall’attuale formulazione dell’articolo 25, comma 9, del TUA, in caso di trasferimenti tra depositi commerciali di prodotti già assoggettati ad accisa. Per tali trasferimenti è stabilito che le suddette comunicazioni siano effettuate esclusivamente con modalità telematiche, in luogo di quelle attualmente previste (fax), al fine di una migliore archiviazione ed elaborazione dei dati comunicati dagli operatori. Con la </w:t>
      </w:r>
      <w:r w:rsidDel="00000000" w:rsidR="00000000" w:rsidRPr="00000000">
        <w:rPr>
          <w:rFonts w:ascii="Times New Roman" w:cs="Times New Roman" w:eastAsia="Times New Roman" w:hAnsi="Times New Roman"/>
          <w:b w:val="1"/>
          <w:sz w:val="24"/>
          <w:szCs w:val="24"/>
          <w:rtl w:val="0"/>
        </w:rPr>
        <w:t xml:space="preserve">lettera d)</w:t>
      </w:r>
      <w:r w:rsidDel="00000000" w:rsidR="00000000" w:rsidRPr="00000000">
        <w:rPr>
          <w:rFonts w:ascii="Times New Roman" w:cs="Times New Roman" w:eastAsia="Times New Roman" w:hAnsi="Times New Roman"/>
          <w:sz w:val="24"/>
          <w:szCs w:val="24"/>
          <w:rtl w:val="0"/>
        </w:rPr>
        <w:t xml:space="preserve">, del </w:t>
      </w:r>
      <w:r w:rsidDel="00000000" w:rsidR="00000000" w:rsidRPr="00000000">
        <w:rPr>
          <w:rFonts w:ascii="Times New Roman" w:cs="Times New Roman" w:eastAsia="Times New Roman" w:hAnsi="Times New Roman"/>
          <w:b w:val="1"/>
          <w:sz w:val="24"/>
          <w:szCs w:val="24"/>
          <w:rtl w:val="0"/>
        </w:rPr>
        <w:t xml:space="preserve">comma 1</w:t>
      </w:r>
      <w:r w:rsidDel="00000000" w:rsidR="00000000" w:rsidRPr="00000000">
        <w:rPr>
          <w:rFonts w:ascii="Times New Roman" w:cs="Times New Roman" w:eastAsia="Times New Roman" w:hAnsi="Times New Roman"/>
          <w:sz w:val="24"/>
          <w:szCs w:val="24"/>
          <w:rtl w:val="0"/>
        </w:rPr>
        <w:t xml:space="preserve"> in illustrazione, infine, si è provveduto ad inserire, nell’articolo 28 del TUA, il comma 7-bis al fine di colmare la lacuna normativa concernente i requisiti soggettivi di onorabilità che l’esercente un deposito fiscale di prodotti alcolici deve possedere. </w:t>
      </w:r>
    </w:p>
    <w:p w:rsidR="00000000" w:rsidDel="00000000" w:rsidP="00000000" w:rsidRDefault="00000000" w:rsidRPr="00000000" w14:paraId="0000018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b w:val="1"/>
          <w:sz w:val="24"/>
          <w:szCs w:val="24"/>
          <w:rtl w:val="0"/>
        </w:rPr>
        <w:t xml:space="preserve">comma 2, </w:t>
      </w:r>
      <w:r w:rsidDel="00000000" w:rsidR="00000000" w:rsidRPr="00000000">
        <w:rPr>
          <w:rFonts w:ascii="Times New Roman" w:cs="Times New Roman" w:eastAsia="Times New Roman" w:hAnsi="Times New Roman"/>
          <w:sz w:val="24"/>
          <w:szCs w:val="24"/>
          <w:rtl w:val="0"/>
        </w:rPr>
        <w:t xml:space="preserve">dell’articolo in illustrazione, stabilisce il termine entro il quale deve essere adottata la determinazione del Direttore dell’Agenzia dogane e monopoli prevista dalle nuove disposizioni introdotte nel comma 4 dell’articolo 25 del TUA nonché un termine per la decorrenza dell’efficacia delle disposizioni di cui al comma 1, lettera c), punti 1 e 2, che consenta agli operatori di adeguarsi al dettato delle medesime disposizioni. Con il comma 3 sono stabilite, infine, la decorrenza dell’efficacia di talune disposizioni dell’articolo in illustrazione allo scopo di dare adeguata conoscibilità delle stesse ai fini della loro corretta applicazione. </w:t>
      </w:r>
    </w:p>
    <w:p w:rsidR="00000000" w:rsidDel="00000000" w:rsidP="00000000" w:rsidRDefault="00000000" w:rsidRPr="00000000" w14:paraId="0000018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18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Nella relazione annuale sull’economia non osservata e sull’evasione fiscale per l’anno 2018, il MEF ha stimato la sottrazione all’accertamento su un quantitativo di 285 milioni di litri di benzina e su 2.272 milioni di litri di gasolio. Tenendo conto delle aliquote vigenti, pari a 0,7284 €/litro per la benzina e a 0,6174 €/litro per il gasolio, ai predetti volumi corrisponde un’accisa evasa rispettivamente di 207,6 milioni €/anno per la benzina e di 1,402 miliardi €/anno per il gasolio (per un tax-gap complessivo pari a 1,6096 miliardi €/anno).</w:t>
      </w:r>
    </w:p>
    <w:p w:rsidR="00000000" w:rsidDel="00000000" w:rsidP="00000000" w:rsidRDefault="00000000" w:rsidRPr="00000000" w14:paraId="00000189">
      <w:pPr>
        <w:keepNext w:val="1"/>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Fenomeni di evasione sono stati riscontrati anche nel settore dei prodotti alcolici (bevande spiritose e birra) ed, in particolare, presso operatori della logistica che rivestono la qualifica di depositari autorizzati, relativamente ai quale l’Amministrazione finanziaria ha effettuato nell’ultimo triennio verifiche per un valore medio di maggiori diritti accertati pari a circa 34 milioni di €/anno.</w:t>
      </w:r>
    </w:p>
    <w:p w:rsidR="00000000" w:rsidDel="00000000" w:rsidP="00000000" w:rsidRDefault="00000000" w:rsidRPr="00000000" w14:paraId="0000018A">
      <w:pPr>
        <w:keepNext w:val="1"/>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armonia con le altre disposizioni del decreto legge specificamente mirate al contrasto dei suddetti fenomeni evasivi, con la norma in esame sono introdotti nel Testo Unico delle Accise taluni provvedimenti di natura sistemica volti a prevenirne l’insorgenza, tramite il rafforzamento dei controlli in fase di autorizzazione e nell’esercizio degli impianti in cui i prodotti sottoposti ad accisa sono stoccati e movimentati.</w:t>
      </w:r>
    </w:p>
    <w:p w:rsidR="00000000" w:rsidDel="00000000" w:rsidP="00000000" w:rsidRDefault="00000000" w:rsidRPr="00000000" w14:paraId="0000018B">
      <w:pPr>
        <w:keepNext w:val="1"/>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particolare:</w:t>
      </w:r>
    </w:p>
    <w:p w:rsidR="00000000" w:rsidDel="00000000" w:rsidP="00000000" w:rsidRDefault="00000000" w:rsidRPr="00000000" w14:paraId="0000018C">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provvedimenti di cui al comma 1, lettere a) e b) introducono criteri soggettivi per la selezione dei destinatari registrati ed esplicitano, in norma, l’obbligo dello scarico del prodotto nei relativi depositi già previsto nelle vigenti disposizioni di prassi in materia. Tale norma ha l’effetto di aumentare l’affidabilità degli operatori del settore e di migliorare l’accertamento quali - quantitativo del prodotto pervenuto da altri SM;</w:t>
      </w:r>
    </w:p>
    <w:p w:rsidR="00000000" w:rsidDel="00000000" w:rsidP="00000000" w:rsidRDefault="00000000" w:rsidRPr="00000000" w14:paraId="0000018D">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provvedimenti di cui al comma 1, lettera c) ampliano la platea dei soggetti obbligati alla denuncia e introducono criteri soggettivi per la selezione degli esercenti dei depositi di prodotto ad imposta assolta con l’effetto, anche in questo caso, di aumentare l’affidabilità degli operatori del settore e, quindi, di ridurre la probabilità che gli stessi possano avere  un ruolo nella commercializzazione di prodotti sottratti all’accertamento e presi in carico con DAS falsi;</w:t>
      </w:r>
    </w:p>
    <w:p w:rsidR="00000000" w:rsidDel="00000000" w:rsidP="00000000" w:rsidRDefault="00000000" w:rsidRPr="00000000" w14:paraId="0000018E">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provvedimenti di cui al comma 1, lettera d) introducono criteri soggettivi per la selezione dei depositari autorizzati nel settore dei prodotti alcolici, sempre con l’effetto di aumentare l’affidabilità degli operatori del settore e di prevenire l’insorgenza dei sopra richiamati fenomeni evasivi.</w:t>
      </w:r>
    </w:p>
    <w:p w:rsidR="00000000" w:rsidDel="00000000" w:rsidP="00000000" w:rsidRDefault="00000000" w:rsidRPr="00000000" w14:paraId="0000018F">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 le sopra esposte motivazioni, con le norme di che trattasi, in combinato con le altre disposizioni antifrode contenute nel decreto, si stima: </w:t>
      </w:r>
    </w:p>
    <w:p w:rsidR="00000000" w:rsidDel="00000000" w:rsidP="00000000" w:rsidRDefault="00000000" w:rsidRPr="00000000" w14:paraId="000001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poter ridurre di un ulteriore 4% il predetto tax –gap di 1,609 miliardi €/anno nel settore dei carburanti, per un gettito di 64 milioni €/anno;</w:t>
      </w:r>
    </w:p>
    <w:p w:rsidR="00000000" w:rsidDel="00000000" w:rsidP="00000000" w:rsidRDefault="00000000" w:rsidRPr="00000000" w14:paraId="000001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poter prevenire almeno un terzo delle irregolarità tributarie constatate nell’ultimo quinquennio settore dei prodotti alcolici, per un gettito di circa 11 milioni €/anno (essendo il gettito medio nel settore della birra e degli spiriti pari a circa 1,4 miliardi di €/anno, il predetto dato equivale ad un recupero di efficienza tributaria nel settore di quasi l’1%).</w:t>
      </w:r>
    </w:p>
    <w:p w:rsidR="00000000" w:rsidDel="00000000" w:rsidP="00000000" w:rsidRDefault="00000000" w:rsidRPr="00000000" w14:paraId="00000192">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L’effetto complessivo della norma è, quindi, stimato in 75 milioni di €/anno.   </w:t>
      </w:r>
    </w:p>
    <w:p w:rsidR="00000000" w:rsidDel="00000000" w:rsidP="00000000" w:rsidRDefault="00000000" w:rsidRPr="00000000" w14:paraId="00000193">
      <w:pPr>
        <w:keepNext w:val="1"/>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disposizione non comporta oneri aggiuntivi a carico della finanza pubblica; l’Agenzia provvede agli adempimenti connessi all’attuazione con le risorse umane, strumentali e finanziarie disponibili a legislazione vigente.</w:t>
      </w:r>
    </w:p>
    <w:p w:rsidR="00000000" w:rsidDel="00000000" w:rsidP="00000000" w:rsidRDefault="00000000" w:rsidRPr="00000000" w14:paraId="00000194">
      <w:pPr>
        <w:spacing w:after="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95">
      <w:pPr>
        <w:tabs>
          <w:tab w:val="left" w:pos="284"/>
        </w:tabs>
        <w:spacing w:after="0" w:lineRule="auto"/>
        <w:ind w:firstLine="567"/>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9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7</w:t>
      </w:r>
    </w:p>
    <w:p w:rsidR="00000000" w:rsidDel="00000000" w:rsidP="00000000" w:rsidRDefault="00000000" w:rsidRPr="00000000" w14:paraId="00000197">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(Prevenzione delle frodi nel settore dei carburanti)  </w:t>
      </w:r>
    </w:p>
    <w:p w:rsidR="00000000" w:rsidDel="00000000" w:rsidP="00000000" w:rsidRDefault="00000000" w:rsidRPr="00000000" w14:paraId="0000019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1 della legge 27 dicembre 2017, n. 205, sono apportate le seguenti modificazioni:</w:t>
      </w:r>
    </w:p>
    <w:p w:rsidR="00000000" w:rsidDel="00000000" w:rsidP="00000000" w:rsidRDefault="00000000" w:rsidRPr="00000000" w14:paraId="0000019A">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nel comma 940 le parole “commi 937, 938 e 939” sono sostituite dalle seguenti “commi 937 e 938” e le parole “di cui al comma 942 o che presti idonea garanzia” sono sostituite dalle seguenti “di cui al comma 942 e che presti idonea garanzia”;</w:t>
      </w:r>
    </w:p>
    <w:p w:rsidR="00000000" w:rsidDel="00000000" w:rsidP="00000000" w:rsidRDefault="00000000" w:rsidRPr="00000000" w14:paraId="0000019B">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nel comma 941:</w:t>
      </w:r>
    </w:p>
    <w:p w:rsidR="00000000" w:rsidDel="00000000" w:rsidP="00000000" w:rsidRDefault="00000000" w:rsidRPr="00000000" w14:paraId="0000019C">
      <w:pPr>
        <w:tabs>
          <w:tab w:val="left" w:pos="291"/>
        </w:tabs>
        <w:spacing w:after="0" w:lineRule="auto"/>
        <w:ind w:left="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 parole da “Le disposizioni” fino a “in consumo o estratti;” sono sostituite dalle seguenti: “Le disposizioni dei commi 937 e 938 non si applicano ai prodotti di cui al comma 937 di proprietà del gestore del deposito, di capacità non inferiore a 3000 metri cubi, dal quale sono immessi in consumo o estratti;”</w:t>
      </w:r>
    </w:p>
    <w:p w:rsidR="00000000" w:rsidDel="00000000" w:rsidP="00000000" w:rsidRDefault="00000000" w:rsidRPr="00000000" w14:paraId="0000019D">
      <w:pPr>
        <w:tabs>
          <w:tab w:val="left" w:pos="291"/>
          <w:tab w:val="left" w:pos="1418"/>
        </w:tabs>
        <w:spacing w:after="0" w:lineRule="auto"/>
        <w:ind w:left="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è aggiunto, in fine, il seguente periodo: “Il predetto limite di capacità di 3000 metri cubi può essere rideterminato con decreto del Ministro dell'Economia e delle finanze.” </w:t>
      </w:r>
    </w:p>
    <w:p w:rsidR="00000000" w:rsidDel="00000000" w:rsidP="00000000" w:rsidRDefault="00000000" w:rsidRPr="00000000" w14:paraId="0000019E">
      <w:pPr>
        <w:tabs>
          <w:tab w:val="left" w:pos="291"/>
          <w:tab w:val="left" w:pos="1418"/>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dopo il comma 941, sono aggiunti i seguenti: “941-bis. Fatto salvo quanto disposto dal comma 941-ter, l’utilizzo della dichiarazione di cui all’articolo 1, comma 1, lettera c), del decreto-legge 29 dicembre 1983, n. 746, convertito, con modificazioni, dalla legge 27 febbraio 1984, n. 17, non è consentito per le cessioni e per le importazioni definitive dei prodotti di cui al comma 937.</w:t>
      </w:r>
    </w:p>
    <w:p w:rsidR="00000000" w:rsidDel="00000000" w:rsidP="00000000" w:rsidRDefault="00000000" w:rsidRPr="00000000" w14:paraId="0000019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941-ter. L’utilizzo della dichiarazione di cui all’articolo 1, comma 1, lettera c), del decreto-legge 29 dicembre 1983, n. 746, convertito, con modificazioni, dalla legge 27 febbraio 1984, n. 17, è consentito limitatamente al caso in cui le imprese di cui all’articolo 24-ter del testo unico approvato con il decreto legislativo 26 ottobre 1995, n. 504 acquistino, ai fini dello svolgimento della loro attività di trasporto, gasolio, presso un deposito commerciale di cui all’articolo 25 dello stesso testo unico, da soggetti diversi dai depositari autorizzati, ivi inclusi quelli che utilizzano il proprio deposito anche come deposito IVA e dai destinatari registrati di cui rispettivamente agli articoli 23 e 8 del predetto testo unico nonché da soggetti diversi da quelli di cui al comma 945 del presente articolo. Con decreto del Ministro dell’Economia e delle finanze di natura non regolamentare possono essere stabilite ulteriori limitazioni all’utilizzo della dichiarazione di cui al presente comma.”;</w:t>
      </w:r>
    </w:p>
    <w:p w:rsidR="00000000" w:rsidDel="00000000" w:rsidP="00000000" w:rsidRDefault="00000000" w:rsidRPr="00000000" w14:paraId="000001A0">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dopo il comma 943 è inserito il seguente: ”943-bis.  Al fine di agevolare l’attività di controllo dell’Agenzia dogane e monopoli e della Guardia di finanza, le società, gli enti e i consorzi concessionari di autostrade e trafori mettono a disposizione della medesima Agenzia e della predetta Guardia di finanza, su richiesta, senza oneri per l’erario, i dati rilevati sui transiti degli automezzi che possono essere utilizzati per la movimentazione dei prodotti energetici in possesso delle suddette società.”;</w:t>
      </w:r>
    </w:p>
    <w:p w:rsidR="00000000" w:rsidDel="00000000" w:rsidP="00000000" w:rsidRDefault="00000000" w:rsidRPr="00000000" w14:paraId="000001A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Le disposizioni di cui al comma 1, lettere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del presente articolo hanno efficacia a decorrere dal 1° gennaio 2020.</w:t>
      </w:r>
    </w:p>
    <w:p w:rsidR="00000000" w:rsidDel="00000000" w:rsidP="00000000" w:rsidRDefault="00000000" w:rsidRPr="00000000" w14:paraId="000001A2">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illustrativa</w:t>
      </w:r>
    </w:p>
    <w:p w:rsidR="00000000" w:rsidDel="00000000" w:rsidP="00000000" w:rsidRDefault="00000000" w:rsidRPr="00000000" w14:paraId="000001A4">
      <w:pPr>
        <w:tabs>
          <w:tab w:val="left" w:pos="567"/>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w:t>
      </w:r>
      <w:r w:rsidDel="00000000" w:rsidR="00000000" w:rsidRPr="00000000">
        <w:rPr>
          <w:rFonts w:ascii="Times New Roman" w:cs="Times New Roman" w:eastAsia="Times New Roman" w:hAnsi="Times New Roman"/>
          <w:b w:val="1"/>
          <w:sz w:val="24"/>
          <w:szCs w:val="24"/>
          <w:rtl w:val="0"/>
        </w:rPr>
        <w:t xml:space="preserve">l’articolo </w:t>
      </w:r>
      <w:r w:rsidDel="00000000" w:rsidR="00000000" w:rsidRPr="00000000">
        <w:rPr>
          <w:rFonts w:ascii="Times New Roman" w:cs="Times New Roman" w:eastAsia="Times New Roman" w:hAnsi="Times New Roman"/>
          <w:sz w:val="24"/>
          <w:szCs w:val="24"/>
          <w:rtl w:val="0"/>
        </w:rPr>
        <w:t xml:space="preserve">in illustrazione si intende rafforzare l’azione di prevenzione e contrasto delle frodi nel settore della vendita di alcuni carburanti, già avviata, con specifico riferimento all’IVA, attraverso l’applicazione dei commi da 937 a 959 dell’articolo 1 della legge n. 205/2017.  Innanzitutto Con le</w:t>
      </w:r>
      <w:r w:rsidDel="00000000" w:rsidR="00000000" w:rsidRPr="00000000">
        <w:rPr>
          <w:rFonts w:ascii="Times New Roman" w:cs="Times New Roman" w:eastAsia="Times New Roman" w:hAnsi="Times New Roman"/>
          <w:b w:val="1"/>
          <w:sz w:val="24"/>
          <w:szCs w:val="24"/>
          <w:rtl w:val="0"/>
        </w:rPr>
        <w:t xml:space="preserve"> lettere a), b) e c), del comma 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dell’articolo in illustrazione, si procede invece alla modifica dei commi 940 e 941 nonché all’inserimento, nell’articolo 1 della più volte menzionata legge n. 205/2017, dei nuovi commi (941-bis e 941-ter). I citati commi 940 e 941, nell’ambito di un pacchetto di disposizioni emanate per contrastare le frodi consistenti nel mancato pagamento dell’IVA e contenute nella citata legge 205/2017, hanno attualmente la finalità di prevedere talune deroghe al generale obbligo di versare, senza possibilità di compensazione, l’IVA afferente i carburanti immessi in consumo nel territorio nazionale da depositi fiscali di prodotti energetici ovvero estratti da depositi di soggetti abilitati a operare come destinatari registrati.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fine di contrastare gli illustrati fenomeni fraudolenti,  il comma 940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(comma 1, lett.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viene modificato, in particolare, nel senso che la deroga, ivi prevista, all’applicazione del disposto del comma 937, relativo al versamento anticipato dell’IVA, possa applicarsi solo qualora, in relazione al soggetto (per conto del quale i prodotti sono immessi in consumo dal deposito fiscale), ricorrano entrambe le condizioni che la formulazione vigente del citato comma 940 prevede ora come alternative. In buona sostanza, il predetto soggetto deve sia integrare specifici criteri di affidabilità che prestare un’idonea garanzia.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le summenzionate finalità, si è proceduto a modificare anche il comma 941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(comma 1, lett.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allo specifico scopo di restringere il campo di applicazione delle deroghe ivi attualmente previste. In particolare, è stata introdotta una soglia di capacità di stoccaggio (fissata in 3.000 metri cubi), sia per i depositi fiscali che per i depositi dei destinatari registrati, per poter accedere alla deroga in questione.  Per effetto di tale modifica, qualora il deposito dal quale sono estratti o immessi in consumo i carburanti in parola abbia una capacità inferiore a quella prevista, scatterà comunque l’obbligo del versamento anticipato dell’IVA previsto dal comma 937. La ratio di tale disposizione è rappresentata dalla necessità che il deposito in questione possa, in relazione alla sua capacità, costituire effettivamente un’adeguata garanzia per il pagamento dell’IVA. E’ previsto inoltre che con un apposito decreto del Ministro dell’Economia e delle finanze possa essere modificata la predetta soglia di capacità. Per quanto attiene all’inserimento del nuovo comma 941-bis nell’articolo 1 della menzionata legge n. 205/2017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(comma 1, lett.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evidenzia che esso è finalizzato ad impedire l’utilizzo della dichiarazione d’intento, di cui all’articolo 1, lettera c), del decreto-legge 29 dicembre 1983, n. 746, convertito, con modificazioni, dalla legge 27 febbraio 1984, n. 17, per tutte le cessioni e le importazioni definitive che riguardano i prodotti indicati nel comma 937. La proposta origina dalla constatazione delle nuove modalità con cui l’obbligo di versamento IVA viene attualmente aggirato dai soggetti coinvolti nelle frodi in parola. Il meccanismo fraudolento rilevato, in particolare, prende spunto da quanto attualmente previsto dal comma 941 che consente al proprietario dei beni, nel caso in cui sia anche titolare del deposito di stoccaggio, di poter estrarre gli stessi prodotti senza effettuare il versamento anticipato dell’imposta (previsto dal comma 937). Successivamente o contestualmente a tale immissione in consumo/estrazione può capitare che il predetto titolare del deposito ceda ad una società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c.d. cartiera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prodotto in questione, fatturando lo stesso senza l’applicazione dell’IVA a fronte dell’esibizione, da parte della medesima società, di una dichiarazione d’intento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autentica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tal modo non viene effettuato il versamento dell’IVA afferente i carburanti in questione, i quali possono essere così venduti sottocosto sul mercato. Per tale motivo viene previsto l’inserimento di un nuovo comma 941-bis nell’articolo 1 della menzionata legge n. 205/2017, finalizzato ad impedire l’utilizzo della citata dichiarazione d’intento, per tutte le cessioni e le importazioni definitive che riguardano i carburanti e gli altri prodotti previsti dal comma 937 con la sola eccezione stabilita dal successivo comma 941-ter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(comma 1, lett.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Tale eccezione al predetto divieto generale di utilizzo della citata dichiarazione d’intento attiene ad alcune cessioni aventi ad oggetto il c.d. gasolio commerciale (di cui all’art. 24-ter del TUA), impiegato dai soggetti esercenti talune categorie di trasporto merci e passeggeri. Ciò in considerazione del fatto che tali soggetti effettuano di norma anche prestazioni di servizi internazionali, in relazione alle quali gli stessi possono strutturalmente maturare un credito IVA, che può essere utilizzato anche mediante la dichiarazione di intento in parola. Inoltre, si deve tenere conto della circostanza che l’acquisto del gasolio costituisce di fatto, per le società in questione, il costo maggiormente significativo per lo svolgimento della loro attività. La deroga in questione è però limitata al solo caso in cui i predetti soggetti esercenti talune categorie di trasporto merci e passeggeri acquistino il gasolio, che utilizzeranno per lo svolgimento della loro attività, presso depositi commerciali e da soggetti che non rivestano la qualifica di depositario autorizzato, di destinatario registrato ovvero da soggetti diversi da quelli per conto dei quali gestori di un deposito fiscale o destinatari registrati abbiano immesso in consumo o estratto il medesimo gasolio (c.d. “traders”). Ciò per evitare che l’obbligo del pagamento anticipato dell’IVA venga disatteso attraverso l’esibizione di dichiarazione d’intento non veritiere. Nel comma 941-ter, infine, si dispone che attraverso l’adozione di un decreto del Ministro del Ministro dell’Economia e delle finanze possano essere individuate ulteriori ipotesi nelle quali sia vietato utilizzare la predetta dichiarazione d’intento.  </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Infine, con l’inserimento, nell’articolo 1 della citata legge 205/2017, del nuovo comma 943-bis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(comma 1, lett. 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intende agevolare l’attività di controllo dell’Agenzia dogane e monopoli e della Guardia di finanza prevedendo che le Società, gli Enti e i Consorzi concessionari di autostrade e trafori mettano a disposizione delle predette strutture le informazioni prelevate, in modo automatico, dai sistemi di controllo installati sulle tratte autostradali di competenza, relative ai passaggi degli automezzi utilizzabili per la movimentazione dei prodotti energetici; le stesse informazioni sono rese su richiesta delle predette  Agenzia e Guardia di finanza e senza che ne derivino oneri a carico dell’erario.</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1A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prevede l’inserimento nell’art. 1 della legge n. 205 del 27 dicembre 2017 dei seguenti commi:</w:t>
      </w:r>
    </w:p>
    <w:p w:rsidR="00000000" w:rsidDel="00000000" w:rsidP="00000000" w:rsidRDefault="00000000" w:rsidRPr="00000000" w14:paraId="000001AB">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comma 943-bis, che stabilisce che le società, gli enti e i consorzi concessionari di autostrade e trafori mettano a disposizione su richiesta dell’Agenzia delle Dogane e della Guardia di Finanza, senza oneri per l’erario, i dati rilevati sui transiti degli automezzi che possono essere utilizzati per la movimentazione dei prodotti energetici in possesso delle suddette società;</w:t>
      </w:r>
    </w:p>
    <w:p w:rsidR="00000000" w:rsidDel="00000000" w:rsidP="00000000" w:rsidRDefault="00000000" w:rsidRPr="00000000" w14:paraId="000001AC">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comma 941-bis, che stabilisce che l’utilizzazione della dichiarazione di intento in materia d’IVA non è consentito per le cessioni e per le importazioni definitive dei prodotti di cui al comma 937 della medesima legge;</w:t>
      </w:r>
    </w:p>
    <w:p w:rsidR="00000000" w:rsidDel="00000000" w:rsidP="00000000" w:rsidRDefault="00000000" w:rsidRPr="00000000" w14:paraId="000001AD">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comma 941-ter, che prevede che l’utilizzo delle predette dichiarazioni di intento è consentito solo nel caso in cui le imprese che effettuano trasporto merci e passeggeri di cui all’articolo 24-ter del testo unico approvato con il decreto legislativo 26 ottobre 1995, n. 504 acquistino, ai fini dello svolgimento della loro attività di trasporto, gasolio presso depositi commerciali da soggetti che non rivestano la qualifica di depositario autorizzato o di destinatario registrato ovvero da soggetti diversi da quelli per conto dei quali gestori di un deposito fiscale o destinatari registrati abbiano immesso in consumo o estratto il medesimo gasolio (c.d. “traders”).</w:t>
      </w:r>
    </w:p>
    <w:p w:rsidR="00000000" w:rsidDel="00000000" w:rsidP="00000000" w:rsidRDefault="00000000" w:rsidRPr="00000000" w14:paraId="000001A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la medesima disposizione prevede la modifica del comma 941 dell’art. 1 della legge n. 205 del 27 dicembre 2017 volta a restringere il campo di applicazione delle deroghe attualmente previste in tale comma. In particolare, è stata introdotta una soglia di capacità di stoccaggio (fissata in 3000 metri cubi), sia per i depositi fiscali sia per i depositi dei destinatari registrati, per poter accedere alla deroga in questione. Per effetto di tale modifica, qualora il deposito dal quale sono estratti o immessi in consumo i carburanti in parola abbia una capacità inferiore a quella prevista, scatterà comunque l’obbligo del versamento anticipato dell’IVA previsto dal comma 937 della suddetta legge. </w:t>
      </w:r>
    </w:p>
    <w:p w:rsidR="00000000" w:rsidDel="00000000" w:rsidP="00000000" w:rsidRDefault="00000000" w:rsidRPr="00000000" w14:paraId="000001A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Sotto il profilo strettamente finanziario rilevano principalmente le disposizioni volte a impedire l'utilizzo della dichiarazione d'intento per tutte le cessioni e le importazioni definitive che riguardano i carburanti al fine di evitare l'uso fraudolento delle predette dichiarazioni e aggirare così l'obbligo di versamento dell'IVA.  Al riguardo, l’Agenzia delle Entrate ha confermato la rilevanza dei fenomeni fraudolenti che interessano il settore petrolifero che determinano la sottrazione di ingenti risorse erariali. In particolare, l’esperienza operativa ha fatto emergere l’utilizzo – negli schemi fraudolenti impiegati nel corso degli ultimi anni – di lettere d’intento ideologicamente false, emesse da società cartiere che si qualificano fittiziamente come esportatori abituali.</w:t>
      </w:r>
    </w:p>
    <w:p w:rsidR="00000000" w:rsidDel="00000000" w:rsidP="00000000" w:rsidRDefault="00000000" w:rsidRPr="00000000" w14:paraId="000001B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riguardo, sulla base di informazioni acquisite dall’Agenzia delle Entrate, negli anni 2017 e 2018, il falso </w:t>
      </w:r>
      <w:r w:rsidDel="00000000" w:rsidR="00000000" w:rsidRPr="00000000">
        <w:rPr>
          <w:rFonts w:ascii="Times New Roman" w:cs="Times New Roman" w:eastAsia="Times New Roman" w:hAnsi="Times New Roman"/>
          <w:i w:val="1"/>
          <w:sz w:val="24"/>
          <w:szCs w:val="24"/>
          <w:rtl w:val="0"/>
        </w:rPr>
        <w:t xml:space="preserve">plafond</w:t>
      </w:r>
      <w:r w:rsidDel="00000000" w:rsidR="00000000" w:rsidRPr="00000000">
        <w:rPr>
          <w:rFonts w:ascii="Times New Roman" w:cs="Times New Roman" w:eastAsia="Times New Roman" w:hAnsi="Times New Roman"/>
          <w:sz w:val="24"/>
          <w:szCs w:val="24"/>
          <w:rtl w:val="0"/>
        </w:rPr>
        <w:t xml:space="preserve"> generato da società cartiere, oggetto di indicazione in lettere d’intento destinate ad operatori del settore idrocarburi, è aumentato da € 496 milioni a € 1.242 milioni. Tale stima, limitata alle entrate erariali conseguenti all’inibizione dell’utilizzo delle lettere d’intento, con esclusione quindi degli impatti relativi al comparto delle accise, si basa sulla tempestiva individuazione di soggetti a rischio (cartiere / falsi esportatori abituali) e sull’immediata interlocuzione con i relativi fornitori attraverso l’invio di </w:t>
      </w:r>
      <w:r w:rsidDel="00000000" w:rsidR="00000000" w:rsidRPr="00000000">
        <w:rPr>
          <w:rFonts w:ascii="Times New Roman" w:cs="Times New Roman" w:eastAsia="Times New Roman" w:hAnsi="Times New Roman"/>
          <w:i w:val="1"/>
          <w:sz w:val="24"/>
          <w:szCs w:val="24"/>
          <w:rtl w:val="0"/>
        </w:rPr>
        <w:t xml:space="preserve">warning letters</w:t>
      </w:r>
      <w:r w:rsidDel="00000000" w:rsidR="00000000" w:rsidRPr="00000000">
        <w:rPr>
          <w:rFonts w:ascii="Times New Roman" w:cs="Times New Roman" w:eastAsia="Times New Roman" w:hAnsi="Times New Roman"/>
          <w:sz w:val="24"/>
          <w:szCs w:val="24"/>
          <w:rtl w:val="0"/>
        </w:rPr>
        <w:t xml:space="preserve">, con l’obiettivo di interrompere – e, ove possibile, di evitare – il flusso di fatturazione in regime di non imponibili IVA verso tali soggetti, impedendo di fatto il successivo salto d’imposta.</w:t>
      </w:r>
    </w:p>
    <w:p w:rsidR="00000000" w:rsidDel="00000000" w:rsidP="00000000" w:rsidRDefault="00000000" w:rsidRPr="00000000" w14:paraId="000001B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Pertanto, dall’attuazione delle disposizioni sopra descritte si possono stimare effetti positivi di gettito pari a 200 milioni di euro annui, importo comunque corrispondente – prudenzialmente – alla media dell’IVA afferente agli importi rilevati per tali due periodi d’imposta.</w:t>
      </w:r>
    </w:p>
    <w:p w:rsidR="00000000" w:rsidDel="00000000" w:rsidP="00000000" w:rsidRDefault="00000000" w:rsidRPr="00000000" w14:paraId="000001B2">
      <w:pPr>
        <w:spacing w:after="0" w:lineRule="auto"/>
        <w:ind w:left="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8</w:t>
      </w:r>
    </w:p>
    <w:p w:rsidR="00000000" w:rsidDel="00000000" w:rsidP="00000000" w:rsidRDefault="00000000" w:rsidRPr="00000000" w14:paraId="000001B4">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(Contrasto alle frodi nel settore degli idrocarburi e di altri prodotti)</w:t>
      </w:r>
    </w:p>
    <w:p w:rsidR="00000000" w:rsidDel="00000000" w:rsidP="00000000" w:rsidRDefault="00000000" w:rsidRPr="00000000" w14:paraId="000001B5">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B6">
      <w:pPr>
        <w:tabs>
          <w:tab w:val="left" w:pos="1276"/>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 fine di contrastare il mancato pagamento dell’accisa sui carburanti per autotrazione e sui combustibili per riscaldamento e tutelare la salute pubblica contrastando l’utilizzo fraudolento di taluni idrocarburi e altri prodotti nei predetti impieghi, al testo unico delle disposizioni legislative concernenti le imposte sulla produzione e sui consumi e relative sanzioni amministrative e penali, approvato con il decreto legislativo 26 ottobre 1995, n. 504, sono apportate le seguenti modificazioni:</w:t>
      </w:r>
    </w:p>
    <w:p w:rsidR="00000000" w:rsidDel="00000000" w:rsidP="00000000" w:rsidRDefault="00000000" w:rsidRPr="00000000" w14:paraId="000001B7">
      <w:pPr>
        <w:spacing w:after="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dopo l’articolo 7, è inserito il seguente: </w:t>
      </w:r>
    </w:p>
    <w:p w:rsidR="00000000" w:rsidDel="00000000" w:rsidP="00000000" w:rsidRDefault="00000000" w:rsidRPr="00000000" w14:paraId="000001B8">
      <w:pPr>
        <w:spacing w:after="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7-bis</w:t>
      </w:r>
    </w:p>
    <w:p w:rsidR="00000000" w:rsidDel="00000000" w:rsidP="00000000" w:rsidRDefault="00000000" w:rsidRPr="00000000" w14:paraId="000001B9">
      <w:pPr>
        <w:spacing w:after="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(Disposizioni particolari per la circolazione degli oli lubrificanti e di altri specifici prodotti)</w:t>
      </w:r>
    </w:p>
    <w:p w:rsidR="00000000" w:rsidDel="00000000" w:rsidP="00000000" w:rsidRDefault="00000000" w:rsidRPr="00000000" w14:paraId="000001BA">
      <w:pPr>
        <w:spacing w:after="0" w:lineRule="auto"/>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after="0" w:lineRule="auto"/>
        <w:ind w:left="567" w:firstLine="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Fatto salvo quanto previsto, in materia di circolazione, dalle disposizioni doganali e dall’articolo 6, comma 5, gli oli lubrificanti di cui ai codici da NC da 2710 19 81 a 2710 19 99 circolano nel territorio nazionale, nella fase antecedente all’immissione in consumo, con la scorta di un Codice amministrativo di riscontro, relativo a ciascun trasferimento dei suddetti prodotti, emesso dal sistema informatizzato dell’Agenzia dogane e monopoli e annotato sulla prescritta documentazione di trasporto. </w:t>
      </w:r>
    </w:p>
    <w:p w:rsidR="00000000" w:rsidDel="00000000" w:rsidP="00000000" w:rsidRDefault="00000000" w:rsidRPr="00000000" w14:paraId="000001BC">
      <w:pPr>
        <w:spacing w:after="0" w:lineRule="auto"/>
        <w:ind w:left="567" w:firstLine="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Il codice di cui al comma 1 è richiesto telematicamente all’Agenzia delle dogane e monopoli non prima delle 48 ore precedenti all’introduzione dei prodotti nel territorio nazionale e comunque almeno 12 ore prima dell’introduzione stessa: </w:t>
      </w:r>
    </w:p>
    <w:p w:rsidR="00000000" w:rsidDel="00000000" w:rsidP="00000000" w:rsidRDefault="00000000" w:rsidRPr="00000000" w14:paraId="000001BD">
      <w:pPr>
        <w:tabs>
          <w:tab w:val="left" w:pos="1560"/>
        </w:tabs>
        <w:spacing w:after="0" w:lineRule="auto"/>
        <w:ind w:left="567" w:firstLine="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 i prodotti di cui al presente articolo, provenienti da un altro Stato membro dell’Unione europea e destinati ad essere immessi in consumo nel territorio nazionale, dal soggetto che ne effettua la prima immissione in consumo;</w:t>
      </w:r>
    </w:p>
    <w:p w:rsidR="00000000" w:rsidDel="00000000" w:rsidP="00000000" w:rsidRDefault="00000000" w:rsidRPr="00000000" w14:paraId="000001BE">
      <w:pPr>
        <w:tabs>
          <w:tab w:val="left" w:pos="1560"/>
        </w:tabs>
        <w:spacing w:after="0" w:lineRule="auto"/>
        <w:ind w:left="567" w:firstLine="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per i prodotti di cui al presente articolo, provenienti da un altro Stato membro dell’Unione europea e che non siano destinati ad essere immessi in consumo nel territorio nazionale, dal mittente dei prodotti stessi. </w:t>
      </w:r>
    </w:p>
    <w:p w:rsidR="00000000" w:rsidDel="00000000" w:rsidP="00000000" w:rsidRDefault="00000000" w:rsidRPr="00000000" w14:paraId="000001BF">
      <w:pPr>
        <w:tabs>
          <w:tab w:val="left" w:pos="567"/>
        </w:tabs>
        <w:spacing w:after="0" w:lineRule="auto"/>
        <w:ind w:left="567" w:firstLine="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Nella richiesta di cui al comma 2 sono riportati, in particolare, i dati identificativi del mittente e del destinatario dei prodotti, i quantitativi e i codici di nomenclatura combinata dei medesimi, il luogo in cui i prodotti saranno introdotti nel territorio nazionale, la targa del veicolo e degli eventuali rimorchi utilizzati per il loro trasferimento, l’itinerario che il veicolo seguirà nel territorio nazionale, nonché, per la fattispecie di cui al comma 2, lettera b), il luogo in cui i prodotti lasceranno il medesimo territorio e l’Ufficio delle dogane di uscita. </w:t>
      </w:r>
    </w:p>
    <w:p w:rsidR="00000000" w:rsidDel="00000000" w:rsidP="00000000" w:rsidRDefault="00000000" w:rsidRPr="00000000" w14:paraId="000001C0">
      <w:pPr>
        <w:tabs>
          <w:tab w:val="left" w:pos="567"/>
        </w:tabs>
        <w:spacing w:after="0" w:lineRule="auto"/>
        <w:ind w:left="567" w:firstLine="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Il codice di cui al comma 1, emesso dal sistema informatizzato dell’Agenzia dogane e monopoli, è annotato, prima che la circolazione dei prodotti nel territorio nazionale abbia inizio, sulla prevista documentazione di trasporto che scorta i prodotti. A tal fine il soggetto nazionale di cui al comma 2, lettera a), comunica il medesimo codice al mittente dei prodotti. </w:t>
      </w:r>
    </w:p>
    <w:p w:rsidR="00000000" w:rsidDel="00000000" w:rsidP="00000000" w:rsidRDefault="00000000" w:rsidRPr="00000000" w14:paraId="000001C1">
      <w:pPr>
        <w:tabs>
          <w:tab w:val="left" w:pos="567"/>
        </w:tabs>
        <w:spacing w:after="0" w:lineRule="auto"/>
        <w:ind w:left="567" w:firstLine="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La circolazione nel territorio nazionale dei prodotti di cui al presente articolo si intende regolarmente conclusa con la comunicazione telematica, all’Agenzia dogane e monopoli, dell’avvenuta presa in carico dei prodotti, che il soggetto di cui al comma 2, lettera a) invia entro le ventiquattro ore successive alla medesima presa in carico presso il proprio deposito; per la fattispecie di cui al comma 2, lettera b), la circolazione nel territorio nazionale dei prodotti di cui al presente articolo si intende regolarmente conclusa con la validazione del codice di cui al comma 1 da parte dell’Ufficio delle dogane di uscita di cui al comma 3.</w:t>
      </w:r>
    </w:p>
    <w:p w:rsidR="00000000" w:rsidDel="00000000" w:rsidP="00000000" w:rsidRDefault="00000000" w:rsidRPr="00000000" w14:paraId="000001C2">
      <w:pPr>
        <w:tabs>
          <w:tab w:val="left" w:pos="567"/>
          <w:tab w:val="left" w:pos="1134"/>
        </w:tabs>
        <w:spacing w:after="0" w:lineRule="auto"/>
        <w:ind w:left="567" w:firstLine="426.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Con decreto del Ministro dell’Economia e delle finanze di natura non regolamentare sono stabilite le modalità di attuazione delle disposizioni di cui al presente articolo, con particolare riguardo alla disciplina dei casi di indisponibilità o malfunzionamento del sistema informatizzato dell’Agenzia dogane e monopoli e all’individuazione degli ulteriori elementi da riportare nella richiesta di cui al comma 2.  </w:t>
      </w:r>
    </w:p>
    <w:p w:rsidR="00000000" w:rsidDel="00000000" w:rsidP="00000000" w:rsidRDefault="00000000" w:rsidRPr="00000000" w14:paraId="000001C3">
      <w:pPr>
        <w:tabs>
          <w:tab w:val="left" w:pos="567"/>
          <w:tab w:val="left" w:pos="1134"/>
        </w:tabs>
        <w:spacing w:after="0" w:lineRule="auto"/>
        <w:ind w:left="567" w:firstLine="426.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Le disposizioni di cui al presente articolo trovano applicazione anche per le preparazioni lubrificanti rientranti nel codice NC 3403, qualora le stesse siano trasportate sfuse o in contenitori di capacità superiore a 20 litri.”;</w:t>
      </w:r>
    </w:p>
    <w:p w:rsidR="00000000" w:rsidDel="00000000" w:rsidP="00000000" w:rsidRDefault="00000000" w:rsidRPr="00000000" w14:paraId="000001C4">
      <w:pPr>
        <w:tabs>
          <w:tab w:val="left" w:pos="284"/>
          <w:tab w:val="left" w:pos="1134"/>
        </w:tabs>
        <w:spacing w:after="0" w:lineRule="auto"/>
        <w:ind w:firstLine="8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all’articolo 40, comma 3, è aggiunto in fine il seguente periodo: “Salvo che venga fornita prova contraria, si configura altresì come tentativo di sottrazione del prodotto all’accertamento la circolazione dei prodotti di cui all’articolo 7-bis che avvenga in assenza della preventiva emissione del Codice di riscontro amministrativo di cui al medesimo articolo 7-bis; ugualmente si considera tentativo di sottrazione del prodotto all’accertamento la predetta circolazione che avvenga sulla base dei dati di cui al comma 3 del medesimo articolo 7-bis risultanti non veritieri ovvero che avvenga senza che sia stata eseguita, da parte dell’Ufficio delle dogane di uscita, la validazione del predetto codice a causa della mancata presentazione dei prodotti presso il medesimo Ufficio.”.</w:t>
      </w:r>
    </w:p>
    <w:p w:rsidR="00000000" w:rsidDel="00000000" w:rsidP="00000000" w:rsidRDefault="00000000" w:rsidRPr="00000000" w14:paraId="000001C5">
      <w:pPr>
        <w:tabs>
          <w:tab w:val="left" w:pos="1134"/>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 dati relativi alla circolazione degli oli lubrificanti e di altri specifici prodotti di cui all’articolo 7-bis del testo unico delle disposizioni legislative concernenti le imposte sulla produzione e sui consumi e relative sanzioni amministrative e penali, approvato con il decreto legislativo 26 ottobre 1995, n. 504, sono resi accessibili, con modalità  da indicare nel decreto di cui all’articolo 7-bis, comma 6, del predetto testo unico, alla Guardia di finanza al fine dello svolgimento dei controlli di competenza.</w:t>
      </w:r>
    </w:p>
    <w:p w:rsidR="00000000" w:rsidDel="00000000" w:rsidP="00000000" w:rsidRDefault="00000000" w:rsidRPr="00000000" w14:paraId="000001C6">
      <w:pPr>
        <w:tabs>
          <w:tab w:val="left" w:pos="1134"/>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Le disposizioni di cui all’articolo 7-bis del testo unico delle disposizioni legislative concernenti le imposte sulla produzione e sui consumi e relative sanzioni amministrative e penali, approvato con il decreto legislativo 26 ottobre 1995, n. 504, trovano applicazione anche per i prodotti, da individuare con decreto del Ministro dell’Economia e delle finanze di natura non regolamentare, che, in relazione alle loro caratteristiche, possono essere destinati all’impiego come carburanti per motori, combustibili per riscaldamento ovvero come lubrificanti.</w:t>
      </w:r>
    </w:p>
    <w:p w:rsidR="00000000" w:rsidDel="00000000" w:rsidP="00000000" w:rsidRDefault="00000000" w:rsidRPr="00000000" w14:paraId="000001C7">
      <w:pPr>
        <w:tabs>
          <w:tab w:val="left" w:pos="1134"/>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Il decreto di cui all’articolo 7-bis, comma 6, del testo unico delle disposizioni legislative concernenti le imposte sulla produzione e sui consumi e relative sanzioni amministrative e penali, approvato con il decreto legislativo 26 ottobre 1995, n. 504, è emanato entro 90 giorni dall’entrata in vigore del presente decreto-legge. Le disposizioni di cui al presente articolo hanno efficacia a decorrere dal 1° giorno del secondo mese successivo alla data di pubblicazione del predetto decreto di cui all’articolo 7-bis, comma 6.</w:t>
      </w:r>
    </w:p>
    <w:p w:rsidR="00000000" w:rsidDel="00000000" w:rsidP="00000000" w:rsidRDefault="00000000" w:rsidRPr="00000000" w14:paraId="000001C8">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illustrativa</w:t>
      </w:r>
    </w:p>
    <w:p w:rsidR="00000000" w:rsidDel="00000000" w:rsidP="00000000" w:rsidRDefault="00000000" w:rsidRPr="00000000" w14:paraId="000001C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l’articolo in illustrazione si intende introdurre nell’ordinamento norme per contrastare l’uso fraudolento, nel territorio nazionale, di taluni prodotti classificabili come oli lubrificanti, che vengono illecitamente venduti e utilizzati come carburanti per autotrazione o, in misura minore come combustibili per riscaldamento. Occorre premettere che, ai sensi dell’articolo 62 del decreto legislativo 26 ottobre 1995, n. 504 (testo unico accise – TUA), i prodotti lubrificanti ivi menzionati sono, in linea generale, sottoposti ad imposta di consumo, la quale diviene esigibile, ai sensi dell’articolo 61 del TUA, all’atto dell’immissione in consumo di tali prodotti nel territorio italiano. Gli stessi prodotti possono circolare senza particolari vincoli tra gli Stati membri (sono infatti scortati dalla sola lettera di vettura CMR) poiché la predetta imposta di consumo non rientra in un regime armonizzato in ambito unionale ed è applicata solo in Italia e in pochi altri Stati dell’UE. </w:t>
      </w:r>
    </w:p>
    <w:p w:rsidR="00000000" w:rsidDel="00000000" w:rsidP="00000000" w:rsidRDefault="00000000" w:rsidRPr="00000000" w14:paraId="000001CB">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necessità di predisporre lo schema di norme in illustrazione scaturisce da quanto constatato nell’ambito dell’attività operativa di controllo su strada e presso i depositi di carburanti per autotrazione e combustibili per riscaldamento effettuata dalle Amministrazioni ad essa preposte, ovvero Agenzia dogane e monopoli e Guardia di finanza. Tale attività ha evidenziato l’esistenza di un notevole flusso irregolare verso l’Italia di alcuni prodotti, classificabili come lubrificanti, che, appositamente miscelati con altri prodotti energetici, vengono invece impiegati come carburanti; ciò al fine di aggirare le disposizioni unionali che impongono vincoli rigorosi per la movimentazione tra gli Stati membri dei prodotti da impiegare nella carburazione o nella combustione per riscaldamento, la cui circolazione può avvenire, infatti, solo tra soggetti abilitati e solo a seguito dell’emissione di uno specifico documento (e-AD) fornito dal sistema telematico EMCS. </w:t>
      </w:r>
    </w:p>
    <w:p w:rsidR="00000000" w:rsidDel="00000000" w:rsidP="00000000" w:rsidRDefault="00000000" w:rsidRPr="00000000" w14:paraId="000001CC">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meccanismo fraudolento sopra descritto si ripercuote di fatto negativamente non solo sull’Erario in termini di mancato gettito, ma anche sulla salute pubblica e sull’ambiente in relazione all’utilizzo tecnicamente inopportuno dei lubrificanti medesimi. Gli effetti negativi derivanti dalle suddette frodi gravano, inoltre, in termini di concorrenza sleale, sugli operatori del settore della vendita dei carburanti e dei combustibili per riscaldamento.</w:t>
      </w:r>
    </w:p>
    <w:p w:rsidR="00000000" w:rsidDel="00000000" w:rsidP="00000000" w:rsidRDefault="00000000" w:rsidRPr="00000000" w14:paraId="000001CD">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dunque di contrastare le predette frodi, lo schema in illustrazione introduce un nuovo sistema di tracciabilità dei prodotti lubrificanti nel territorio nazionale, prevedendo l’inserimento nel TUA di un apposito </w:t>
      </w:r>
      <w:r w:rsidDel="00000000" w:rsidR="00000000" w:rsidRPr="00000000">
        <w:rPr>
          <w:rFonts w:ascii="Times New Roman" w:cs="Times New Roman" w:eastAsia="Times New Roman" w:hAnsi="Times New Roman"/>
          <w:b w:val="1"/>
          <w:sz w:val="24"/>
          <w:szCs w:val="24"/>
          <w:rtl w:val="0"/>
        </w:rPr>
        <w:t xml:space="preserve">articolo 7-bis</w:t>
      </w:r>
      <w:r w:rsidDel="00000000" w:rsidR="00000000" w:rsidRPr="00000000">
        <w:rPr>
          <w:rFonts w:ascii="Times New Roman" w:cs="Times New Roman" w:eastAsia="Times New Roman" w:hAnsi="Times New Roman"/>
          <w:sz w:val="24"/>
          <w:szCs w:val="24"/>
          <w:rtl w:val="0"/>
        </w:rPr>
        <w:t xml:space="preserve">. Esso stabilisce </w:t>
      </w:r>
      <w:r w:rsidDel="00000000" w:rsidR="00000000" w:rsidRPr="00000000">
        <w:rPr>
          <w:rFonts w:ascii="Times New Roman" w:cs="Times New Roman" w:eastAsia="Times New Roman" w:hAnsi="Times New Roman"/>
          <w:b w:val="1"/>
          <w:sz w:val="24"/>
          <w:szCs w:val="24"/>
          <w:rtl w:val="0"/>
        </w:rPr>
        <w:t xml:space="preserve">(comma 1 – dell’art. 7-bis)</w:t>
      </w:r>
      <w:r w:rsidDel="00000000" w:rsidR="00000000" w:rsidRPr="00000000">
        <w:rPr>
          <w:rFonts w:ascii="Times New Roman" w:cs="Times New Roman" w:eastAsia="Times New Roman" w:hAnsi="Times New Roman"/>
          <w:sz w:val="24"/>
          <w:szCs w:val="24"/>
          <w:rtl w:val="0"/>
        </w:rPr>
        <w:t xml:space="preserve"> che i prodotti lubrificanti individuati dalla norma mediante i relativi codici di nomenclatura combinata hanno l’obbligo di circolare nel territorio nazionale, nella fase antecedente alla loro immissione in consumo e per ciascun trasferimento dei medesimi, con la scorta di un “Codice amministrativo di riscontro”, emesso dal sistema informatizzato dell’Agenzia dogane e monopoli, da annotare sulla prescritta documentazione di trasporto. </w:t>
      </w:r>
    </w:p>
    <w:p w:rsidR="00000000" w:rsidDel="00000000" w:rsidP="00000000" w:rsidRDefault="00000000" w:rsidRPr="00000000" w14:paraId="000001CE">
      <w:pPr>
        <w:tabs>
          <w:tab w:val="left" w:pos="1560"/>
        </w:tabs>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Fatte salve le disposizioni doganali, le nuove norme </w:t>
      </w:r>
      <w:r w:rsidDel="00000000" w:rsidR="00000000" w:rsidRPr="00000000">
        <w:rPr>
          <w:rFonts w:ascii="Times New Roman" w:cs="Times New Roman" w:eastAsia="Times New Roman" w:hAnsi="Times New Roman"/>
          <w:b w:val="1"/>
          <w:sz w:val="24"/>
          <w:szCs w:val="24"/>
          <w:rtl w:val="0"/>
        </w:rPr>
        <w:t xml:space="preserve">(comma 2 – dell’art. 7-bis) </w:t>
      </w:r>
      <w:r w:rsidDel="00000000" w:rsidR="00000000" w:rsidRPr="00000000">
        <w:rPr>
          <w:rFonts w:ascii="Times New Roman" w:cs="Times New Roman" w:eastAsia="Times New Roman" w:hAnsi="Times New Roman"/>
          <w:sz w:val="24"/>
          <w:szCs w:val="24"/>
          <w:rtl w:val="0"/>
        </w:rPr>
        <w:t xml:space="preserve">troveranno applicazione per la circolazione dei suddetti prodotti nei casi in cui questi ultimi provengano da un altro Stato membro dell’Unione europea e siano destinati ad essere immessi in consumo nel territorio nazionale ovvero transitino sul medesimo territorio per essere immessi in consumo altrove. </w:t>
      </w:r>
    </w:p>
    <w:p w:rsidR="00000000" w:rsidDel="00000000" w:rsidP="00000000" w:rsidRDefault="00000000" w:rsidRPr="00000000" w14:paraId="000001CF">
      <w:pPr>
        <w:tabs>
          <w:tab w:val="left" w:pos="567"/>
        </w:tabs>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Oltre ai dati identificativi del mittente e del destinatario dei prodotti, nel richiedere il predetto codice amministrativo di riscontro il destinatario nazionale o il mittente unionale dei prodotti dovranno riportare anche altri dati indispensabili per il monitoraggio ed il controllo della circolazione dei prodotti in parola, tra cui l’itinerario che il veicolo adibito al trasporto seguirà nel territorio nazionale, il luogo in cui i prodotti lasceranno il medesimo territorio e l’Ufficio delle dogane di uscita </w:t>
      </w:r>
      <w:r w:rsidDel="00000000" w:rsidR="00000000" w:rsidRPr="00000000">
        <w:rPr>
          <w:rFonts w:ascii="Times New Roman" w:cs="Times New Roman" w:eastAsia="Times New Roman" w:hAnsi="Times New Roman"/>
          <w:b w:val="1"/>
          <w:sz w:val="24"/>
          <w:szCs w:val="24"/>
          <w:rtl w:val="0"/>
        </w:rPr>
        <w:t xml:space="preserve">(comma 3 – dell’art. 7-bis)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0">
      <w:pPr>
        <w:tabs>
          <w:tab w:val="left" w:pos="567"/>
        </w:tabs>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caso di prodotti lubrificanti destinati ad un soggetto nazionale, la circolazione dei medesimi si riterrà regolarmente conclusa </w:t>
      </w:r>
      <w:r w:rsidDel="00000000" w:rsidR="00000000" w:rsidRPr="00000000">
        <w:rPr>
          <w:rFonts w:ascii="Times New Roman" w:cs="Times New Roman" w:eastAsia="Times New Roman" w:hAnsi="Times New Roman"/>
          <w:b w:val="1"/>
          <w:sz w:val="24"/>
          <w:szCs w:val="24"/>
          <w:rtl w:val="0"/>
        </w:rPr>
        <w:t xml:space="preserve">(comma 5 – dell’art. 7-bis)</w:t>
      </w:r>
      <w:r w:rsidDel="00000000" w:rsidR="00000000" w:rsidRPr="00000000">
        <w:rPr>
          <w:rFonts w:ascii="Times New Roman" w:cs="Times New Roman" w:eastAsia="Times New Roman" w:hAnsi="Times New Roman"/>
          <w:sz w:val="24"/>
          <w:szCs w:val="24"/>
          <w:rtl w:val="0"/>
        </w:rPr>
        <w:t xml:space="preserve"> a seguito dell’invio del messaggio telematico con cui il destinatario nazionale confermerà  l’avvenuta presa in carico degli stessi all’Agenzia dogane e monopoli; nel caso di prodotti che debbano invece solo transitare sul territorio nazionale, in quanto destinati ad essere immessi in consumo altrove, la circolazione dei medesimi si riterrà regolarmente conclusa una volta validato il codice amministrativo di riscontro, da parte dell’Ufficio delle dogane, nel momento in cui i prodotti lasceranno il territorio nazionale. </w:t>
      </w:r>
    </w:p>
    <w:p w:rsidR="00000000" w:rsidDel="00000000" w:rsidP="00000000" w:rsidRDefault="00000000" w:rsidRPr="00000000" w14:paraId="000001D1">
      <w:pPr>
        <w:tabs>
          <w:tab w:val="left" w:pos="567"/>
        </w:tabs>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Attraverso una specifica integrazione dell’articolo 40 del TUA si stabilisce che, sia nei casi in cui i prodotti lubrificanti in transito non siano stati presentati, come previsto, all’Ufficio delle dogane di uscita sia qualora i dati inseriti ai fini del rilascio del codice amministrativo di riscontro da parte dell’Agenzia dogane e monopoli risultino non veritieri, viene a configurarsi, salvo che venga fornita prova contraria, il tentativo di sottrazione del prodotto all’accertamento dell’accisa ai sensi del medesimo articolo 40 del TUA. </w:t>
      </w:r>
    </w:p>
    <w:p w:rsidR="00000000" w:rsidDel="00000000" w:rsidP="00000000" w:rsidRDefault="00000000" w:rsidRPr="00000000" w14:paraId="000001D2">
      <w:pPr>
        <w:tabs>
          <w:tab w:val="left" w:pos="567"/>
        </w:tabs>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concerne, inoltre, le modalità di attuazione del sistema di circolazione sopra descritto, esse vengono demandate </w:t>
      </w:r>
      <w:r w:rsidDel="00000000" w:rsidR="00000000" w:rsidRPr="00000000">
        <w:rPr>
          <w:rFonts w:ascii="Times New Roman" w:cs="Times New Roman" w:eastAsia="Times New Roman" w:hAnsi="Times New Roman"/>
          <w:b w:val="1"/>
          <w:sz w:val="24"/>
          <w:szCs w:val="24"/>
          <w:rtl w:val="0"/>
        </w:rPr>
        <w:t xml:space="preserve">(comma 6 – dell’art. 7-bis) </w:t>
      </w:r>
      <w:r w:rsidDel="00000000" w:rsidR="00000000" w:rsidRPr="00000000">
        <w:rPr>
          <w:rFonts w:ascii="Times New Roman" w:cs="Times New Roman" w:eastAsia="Times New Roman" w:hAnsi="Times New Roman"/>
          <w:sz w:val="24"/>
          <w:szCs w:val="24"/>
          <w:rtl w:val="0"/>
        </w:rPr>
        <w:t xml:space="preserve">ad un decreto del Ministro dell’Economia e delle finanze di natura non regolamentare, il quale provvederà tra l’altro a disciplinare i casi di indisponibilità o malfunzionamento del sistema informatizzato dell’Agenzia dogane e monopoli ai fini del rilascio del codice amministrativo di riscontro. L’eventuale inserimento di ulteriori prodotti nella disciplina di cui all’articolo 7-bis del TUA è, infine, demandata ad un ulteriore decreto del Ministro dell’Economia e delle finanze di natura non regolamentare </w:t>
      </w:r>
      <w:r w:rsidDel="00000000" w:rsidR="00000000" w:rsidRPr="00000000">
        <w:rPr>
          <w:rFonts w:ascii="Times New Roman" w:cs="Times New Roman" w:eastAsia="Times New Roman" w:hAnsi="Times New Roman"/>
          <w:b w:val="1"/>
          <w:sz w:val="24"/>
          <w:szCs w:val="24"/>
          <w:rtl w:val="0"/>
        </w:rPr>
        <w:t xml:space="preserve">(art. 3 - comma 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tecnica</w:t>
      </w:r>
      <w:r w:rsidDel="00000000" w:rsidR="00000000" w:rsidRPr="00000000">
        <w:rPr>
          <w:rtl w:val="0"/>
        </w:rPr>
      </w:r>
    </w:p>
    <w:p w:rsidR="00000000" w:rsidDel="00000000" w:rsidP="00000000" w:rsidRDefault="00000000" w:rsidRPr="00000000" w14:paraId="000001D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Nella relazione annuale sull’economia non osservata e sull’evasione fiscale per l’anno 2018, il MEF ha stimato la sottrazione all’accertamento su un quantitativo di 2.272 milioni di litri di gasolio. Tenendo conto dell’aliquota vigente, pari a 0,6174 €/litro per il gasolio, al predetto volume corrisponde un’accisa evasa di 1,402 miliardi €/anno. </w:t>
      </w:r>
    </w:p>
    <w:p w:rsidR="00000000" w:rsidDel="00000000" w:rsidP="00000000" w:rsidRDefault="00000000" w:rsidRPr="00000000" w14:paraId="000001D6">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Tale stima è suffragata sia dalla conclamata presenza di molteplici illecite spedizioni, dai Paesi dell’Est Europa, di oli lubrificanti e altri prodotti succedanei del diesel che hanno formato oggetto, sin dal 2013, di  numerosi sequestri da parte dell’AdM (i maggiori diritti accertati sono stati nell’ordine di 8 milioni di € nel 2018 e di 13 milioni di €, sinora, nel 2019) e della GdF (nel solo nel solo 2018, la GdF ha sequestrato 70 automezzi ed oltre 2 milioni litri di gasolio) nonché dal riscontro, durante i controlli sui depositi, di documenti di trasporto nazionali (denominati DAS – Documento Amministrativo Semplificato), artatamente falsificati per legittimare la provenienza dei suddetti prodotti energetici.</w:t>
      </w:r>
    </w:p>
    <w:p w:rsidR="00000000" w:rsidDel="00000000" w:rsidP="00000000" w:rsidRDefault="00000000" w:rsidRPr="00000000" w14:paraId="000001D7">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Tale illecito traffico intra unionale di carburanti succedanei del gasolio è favorito dalla circostanza che non sussiste un obbligo comunitario di censimento dei mittenti e dei destinatari di tali prodotti e che, pertanto, gli stessi possono liberamente circolare nell’Unione con la sola scorta di un documento di trasporto cartaceo (denominato CMR), non tracciato elettronicamente. </w:t>
      </w:r>
    </w:p>
    <w:p w:rsidR="00000000" w:rsidDel="00000000" w:rsidP="00000000" w:rsidRDefault="00000000" w:rsidRPr="00000000" w14:paraId="000001D8">
      <w:pPr>
        <w:spacing w:after="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L’obbligo di registrazione dei depositi di stoccaggio è attualmente previsto solo a livello nazionale e pertanto, il solo modo che l’Amministrazione finanziaria e la Guardia di Finanza dispongono per bloccare le spedizioni all’atto dei controlli su strada è quello di dimostrare, con lunghi appostamenti o previo complessi riscontri di incongruenze nel predetto CMR, che il prodotto sia effettivamente destinato nel territorio dello Stato. </w:t>
      </w:r>
      <w:r w:rsidDel="00000000" w:rsidR="00000000" w:rsidRPr="00000000">
        <w:rPr>
          <w:rtl w:val="0"/>
        </w:rPr>
      </w:r>
    </w:p>
    <w:p w:rsidR="00000000" w:rsidDel="00000000" w:rsidP="00000000" w:rsidRDefault="00000000" w:rsidRPr="00000000" w14:paraId="000001D9">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Nelle more della definizione di provvedimenti comunitari in materia (che sono allo studio della Commissione sin dal 2012), con la norma di che trattasi si introduce l’obbligo di utilizzo, da parte dei soggetti interessati al trasporto (destinatario, mittente e incaricato del trasporto), di un sistema nazionale di preventiva denuncia e di tracciamento informatico delle spedizioni di tali prodotti verso il territorio dello Stato.</w:t>
      </w:r>
    </w:p>
    <w:p w:rsidR="00000000" w:rsidDel="00000000" w:rsidP="00000000" w:rsidRDefault="00000000" w:rsidRPr="00000000" w14:paraId="000001DA">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Qualora i soggetti interessati al trasporto non ottemperino a tali prescrizioni, è, altresì, prevista la presunzione di sottrazione all’accertamento del prodotto trasportato, con conseguente immediata confisca del mezzo e del relativo carico.</w:t>
      </w:r>
    </w:p>
    <w:p w:rsidR="00000000" w:rsidDel="00000000" w:rsidP="00000000" w:rsidRDefault="00000000" w:rsidRPr="00000000" w14:paraId="000001D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tal modo, sarà possibile drasticamente incrementare l’efficacia dei controlli su strada attualmente effettuati ed, inoltre, si innescherà un effetto di deterrenza, presumibilmente molto forte, per il quale le spedizioni illecite dovrebbero indirizzarsi preferenzialmente verso altri SM.   </w:t>
      </w:r>
    </w:p>
    <w:p w:rsidR="00000000" w:rsidDel="00000000" w:rsidP="00000000" w:rsidRDefault="00000000" w:rsidRPr="00000000" w14:paraId="000001D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norma di che trattasi assumerebbe anche maggior efficacia qualora fosse adottata congiuntamente con quella che consente la messa a disposizione delle Autorità di controllo, da parte dei concessionari delle principali infrastrutture viarie, delle targhe e delle ore di passaggio a varchi stradali ed autostradali dei mezzi pesanti utilizzati per il trasporto dei prodotti. Infatti, l’analisi di tali dati consentirebbe di individuare i mezzi sistematicamente impiegati per trasporti “pendolari” tra Italia e gli altri SM e, quindi, di meglio indirizzare, con una preventiva analisi dei rischi, i controlli su strada di che trattasi. </w:t>
      </w:r>
    </w:p>
    <w:p w:rsidR="00000000" w:rsidDel="00000000" w:rsidP="00000000" w:rsidRDefault="00000000" w:rsidRPr="00000000" w14:paraId="000001D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 predetti motivi, con la norma di che trattasi, in combinato con quella sopra riportata, si stima di poter aumentare di 6 volte il recupero di imposta medio effettuato nel settore tra il 2018 e il 2019 (pari a circa 10 milioni di euro anno), per un maggior gettito annuo di 60 milioni €/anno con una corrispondente riduzione di circa il 4% del predetto tax-gap di 1,402 miliardi €/anno sul gasolio autotrazione. </w:t>
      </w:r>
    </w:p>
    <w:p w:rsidR="00000000" w:rsidDel="00000000" w:rsidP="00000000" w:rsidRDefault="00000000" w:rsidRPr="00000000" w14:paraId="000001DE">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D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9</w:t>
      </w:r>
    </w:p>
    <w:p w:rsidR="00000000" w:rsidDel="00000000" w:rsidP="00000000" w:rsidRDefault="00000000" w:rsidRPr="00000000" w14:paraId="000001E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Frodi nell’acquisto di veicoli fiscalmente usati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1 del decreto-legge 3 ottobre 2006, n. 262, convertito, con modificazioni, dalla legge 24 novembre 2006, n. 286, dopo il comma 9 è inserito il seguente: “9-bis. La sussistenza delle condizioni di esclusione dal versamento mediante modello F24 di cui al comma precedente viene verificata dall’Agenzia delle entrate. Con provvedimento del Direttore dell’Agenzia delle entrate sono stabiliti i termini e le modalità della predetta verifica. Gli esiti del controllo sono trasmessi al Dipartimento per i trasporti ai sensi dell’articolo 4, comma 1, lettere b) e c), del decreto 26 marzo 2018.”.</w:t>
      </w:r>
    </w:p>
    <w:p w:rsidR="00000000" w:rsidDel="00000000" w:rsidP="00000000" w:rsidRDefault="00000000" w:rsidRPr="00000000" w14:paraId="000001E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1E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 1 comma 378 della legge 30 dicembre 2004, n. 311 ha introdotto, in ambito di un acquisto intracomunitario di veicoli, l’obbligo per i soggetti esercenti imprese, arti e professioni di trasmettere, preventivamente rispetto all’immatricolazione, i dati identificativi della transazione e del veicolo al Dipartimento per i trasporti terrestri. Tale adempimento era propedeutico alla successiva introduzione, mediante il comma 9 del Decreto Legge 3 ottobre 2006, n. 262, del versamento F 24 El.Ide. e all’abbinamento automatizzato che ne scaturisce tra telaio del veicolo e versamento dell’IVA correlata all’acquisto. </w:t>
      </w:r>
    </w:p>
    <w:p w:rsidR="00000000" w:rsidDel="00000000" w:rsidP="00000000" w:rsidRDefault="00000000" w:rsidRPr="00000000" w14:paraId="000001E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 casi in cui il soggetto esercente imprese, arti o professioni non è obbligato a detto versamento, deve recarsi agli sportelli dell’Agenzia delle entrate per l’esibizione della documentazione atta a suffragare la sussistenza delle condizioni di esonero dal versamento (mezzo di trasporto acquistato in regime del margine o acquistato come bene strumentale all’esercizio dell’impresa).</w:t>
      </w:r>
    </w:p>
    <w:p w:rsidR="00000000" w:rsidDel="00000000" w:rsidP="00000000" w:rsidRDefault="00000000" w:rsidRPr="00000000" w14:paraId="000001E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decreto 26 marzo 2018 è stato introdotto, anche per i soggetti privati, un similare obbligo di comunicazione al Dipartimento per i trasporti dei dati riepilogativi dell’operazione di acquisto, a qualsiasi titolo effettuata, di autoveicoli, di motoveicoli e di rimorchi, nuovi o usati, provenienti da altri Paesi dell’Unione Europea; inoltre lo stesso decreto ha specificato l’obbligo di versamento dell’IVA mediante F24 El.Ide. per i veicoli fiscalmente nuovi. </w:t>
      </w:r>
    </w:p>
    <w:p w:rsidR="00000000" w:rsidDel="00000000" w:rsidP="00000000" w:rsidRDefault="00000000" w:rsidRPr="00000000" w14:paraId="000001E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L’introduzione del comma 9-</w:t>
      </w:r>
      <w:r w:rsidDel="00000000" w:rsidR="00000000" w:rsidRPr="00000000">
        <w:rPr>
          <w:rFonts w:ascii="Times New Roman" w:cs="Times New Roman" w:eastAsia="Times New Roman" w:hAnsi="Times New Roman"/>
          <w:i w:val="1"/>
          <w:sz w:val="24"/>
          <w:szCs w:val="24"/>
          <w:rtl w:val="0"/>
        </w:rPr>
        <w:t xml:space="preserve">bis</w:t>
      </w:r>
      <w:r w:rsidDel="00000000" w:rsidR="00000000" w:rsidRPr="00000000">
        <w:rPr>
          <w:rFonts w:ascii="Times New Roman" w:cs="Times New Roman" w:eastAsia="Times New Roman" w:hAnsi="Times New Roman"/>
          <w:sz w:val="24"/>
          <w:szCs w:val="24"/>
          <w:rtl w:val="0"/>
        </w:rPr>
        <w:t xml:space="preserve"> introduce l’obbligo di preventiva verifica dell’Agenzia delle entrate in tutti i casi in cui non è previsto il versamento dell’Iva con F24 El.Ide., equiparando le operazioni effettuate da soggetti titolari di partita Iva a quelle effettuate da soggetti consumatori finali. In particolare, introduce la verifica preventiva anche per i soggetti privati che acquistano mezzi fiscalmente usati in altri Paesi dell’Unione Europea.</w:t>
      </w:r>
      <w:r w:rsidDel="00000000" w:rsidR="00000000" w:rsidRPr="00000000">
        <w:rPr>
          <w:rtl w:val="0"/>
        </w:rPr>
      </w:r>
    </w:p>
    <w:p w:rsidR="00000000" w:rsidDel="00000000" w:rsidP="00000000" w:rsidRDefault="00000000" w:rsidRPr="00000000" w14:paraId="000001E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10</w:t>
      </w:r>
    </w:p>
    <w:p w:rsidR="00000000" w:rsidDel="00000000" w:rsidP="00000000" w:rsidRDefault="00000000" w:rsidRPr="00000000" w14:paraId="000001E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(Estensione del sistema INFOIL)</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ED">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E">
      <w:pPr>
        <w:spacing w:after="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 Al fine di uniformare le procedure di controllo a quelle già instaurate presso le raffinerie e gli stabilimenti di produzione di prodotti energetici ai sensi dell’articolo 23, comma 14, del testo unico approvato con decreto legislativo 26 ottobre 1995, n. 504, gli esercenti depositi fiscali di cui ai commi 3 e 4, di capacità non inferiore a 3.000 metri cubi, di cui al predetto articolo 23 si dotano, entro il 30 giugno 2020, secondo le caratteristiche e le funzionalità fissate dalle disposizioni di attuazione, di un sistema informatizzato per la gestione della detenzione e della movimentazione della benzina e del gasolio usato come carburante; con determinazione del Direttore dell’Agenzia delle dogane e dei monopoli sono fissati tempi e modalità di esecuzione. </w:t>
      </w:r>
    </w:p>
    <w:p w:rsidR="00000000" w:rsidDel="00000000" w:rsidP="00000000" w:rsidRDefault="00000000" w:rsidRPr="00000000" w14:paraId="000001EF">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F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illustrativa</w:t>
      </w:r>
    </w:p>
    <w:p w:rsidR="00000000" w:rsidDel="00000000" w:rsidP="00000000" w:rsidRDefault="00000000" w:rsidRPr="00000000" w14:paraId="000001F1">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previsione, che richiama il comma 14 dell’art. 23 del d.lgs. n.504/95, si prefigge di dare concreta applicazione del c.d. sistema INFOIL, già adottato presso gli impianti di produzione nazionali, anche ai depositi fiscali di prodotti energetici di mero stoccaggio. L’adozione di tale dispositivo per la gestione dell’impianto comporta la necessità di dotare i relativi serbatoi di sistemi di telemisure storicizzate nonché, laddove non ancora presenti, l’installazione di misuratori all’estrazione, in modo tale che sia permesso l’accesso autonomo e diretto da parte dell’Amministrazione finanziaria alle relative letture.</w:t>
      </w:r>
    </w:p>
    <w:p w:rsidR="00000000" w:rsidDel="00000000" w:rsidP="00000000" w:rsidRDefault="00000000" w:rsidRPr="00000000" w14:paraId="000001F2">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 fine di avviare l’effettiva realizzazione del disposto normativo, l’iniziativa legislativa si propone di attivare la misura rendendone obbligatorio il precetto, in termini di adempimento da osservare entro una data certa (30 giugno 2020), per gli esercenti depositi fiscali di prodotti energetici qualificati come infrastrutture energetiche strategiche, nonché per quelli di cui al comma 4 aventi rilevanti capacità di stoccaggio (non inferiore a 3.000 mc), limitatamente agli stoccaggi di determinati carburanti per autotrazione. </w:t>
      </w:r>
    </w:p>
    <w:p w:rsidR="00000000" w:rsidDel="00000000" w:rsidP="00000000" w:rsidRDefault="00000000" w:rsidRPr="00000000" w14:paraId="000001F3">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Ciò farà sì che l’accertamento quantitativo dei carburanti ed il bilancio di materia delle relative movimentazioni potranno essere effettuati dall’Amministrazione finanziaria in completa autonomia e ogniqualvolta ritenuto necessario, con l’effetto di migliorare la precisione di misura dei quantitativi introdotti/lavorati/estratti e minimizzare il rischio di sottrazione all’accertamento.</w:t>
      </w:r>
    </w:p>
    <w:p w:rsidR="00000000" w:rsidDel="00000000" w:rsidP="00000000" w:rsidRDefault="00000000" w:rsidRPr="00000000" w14:paraId="000001F4">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F5">
      <w:pPr>
        <w:keepNext w:val="1"/>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tecnica</w:t>
      </w:r>
    </w:p>
    <w:p w:rsidR="00000000" w:rsidDel="00000000" w:rsidP="00000000" w:rsidRDefault="00000000" w:rsidRPr="00000000" w14:paraId="000001F6">
      <w:pPr>
        <w:keepNext w:val="1"/>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 fine della riduzione del tax – gap accise la proposta normativa ha lo scopo di potenziare i controlli sul deposito, imponendo l’adozione, entro il 30 giugno 2020 e secondo le caratteristiche e le funzionalità fissate dalle vigenti norme di esecuzione, di un sistema informatizzato per la gestione dei prodotti energetici per autotrazione, detenuti e movimentati all’interno dei depositi fiscali di gasolio e di benzina con capacità di stoccaggio non inferiore a 3.000 mc.  </w:t>
      </w:r>
    </w:p>
    <w:p w:rsidR="00000000" w:rsidDel="00000000" w:rsidP="00000000" w:rsidRDefault="00000000" w:rsidRPr="00000000" w14:paraId="000001F7">
      <w:pPr>
        <w:keepNext w:val="1"/>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disposizione troverà complessivamente applicazione su 120 depositi fiscali con stoccaggi di gasolio e di benzina, limitatamente ai soli serbatoi destinati allo stoccaggio di tali carburanti. Dieci di tali depositi sono raffinerie in cui è già attivo INFOIL e, quindi, non saranno richiesti adeguamenti impiantistici.</w:t>
      </w:r>
    </w:p>
    <w:p w:rsidR="00000000" w:rsidDel="00000000" w:rsidP="00000000" w:rsidRDefault="00000000" w:rsidRPr="00000000" w14:paraId="000001F8">
      <w:pPr>
        <w:keepNext w:val="1"/>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nuova dotazione strumentale consentirà all’Amministrazione finanziaria di effettuare, tramite l’accesso autonomo e diretto alle telemisure installate sui serbatoi dei carburanti, il controllo dell’accertamento quantitativo degli stessi con una precisione superiore a quella attualmente consentita dalle misure manuali.</w:t>
      </w:r>
    </w:p>
    <w:p w:rsidR="00000000" w:rsidDel="00000000" w:rsidP="00000000" w:rsidRDefault="00000000" w:rsidRPr="00000000" w14:paraId="000001F9">
      <w:pPr>
        <w:keepNext w:val="1"/>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Stimando il recupero di efficienza nell’ordine dello 0,5 % delle quantità dei predetti carburanti complessivamente immesse in consumo sulla rete (rispettivamente nell’ordine di grandezza di: 22 miliardi di litri di gasolio; 10 miliardi di litri di benzina), con l’iniziativa di che trattasi si stima di poter recuperare un maggior gettito di 120 milioni di euro / anno che si aggiungono a quello previsto con l’adozione del DAS informatico nella filiera del gasolio e della benzina per autotrazione, oggetto di altra proposta normativa. Gli effetti per l’anno 2020 sono limitati a soli sei mesi di operatività e, quindi, pari a 60 milioni di euro.</w:t>
      </w:r>
    </w:p>
    <w:p w:rsidR="00000000" w:rsidDel="00000000" w:rsidP="00000000" w:rsidRDefault="00000000" w:rsidRPr="00000000" w14:paraId="000001FA">
      <w:pPr>
        <w:keepNext w:val="1"/>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disposizione non comporta oneri aggiuntivi a carico del bilancio dello Stato. L’Agenzia provvede agli adempimenti connessi   all’attuazione con le risorse umane, strumentali e finanziarie disponibili a legislazione vigente.</w:t>
      </w:r>
    </w:p>
    <w:p w:rsidR="00000000" w:rsidDel="00000000" w:rsidP="00000000" w:rsidRDefault="00000000" w:rsidRPr="00000000" w14:paraId="000001F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11</w:t>
      </w:r>
    </w:p>
    <w:p w:rsidR="00000000" w:rsidDel="00000000" w:rsidP="00000000" w:rsidRDefault="00000000" w:rsidRPr="00000000" w14:paraId="000001F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Introduzione Documento Amministrativo Semplificato telematico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FF">
      <w:pPr>
        <w:spacing w:after="0" w:lineRule="auto"/>
        <w:jc w:val="cente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200">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Al fine di introdurre l’utilizzo del sistema informatizzato nell’ambito della circolazione nel territorio dello Stato dei prodotti assoggettati ad accisa di cui all’articolo 12 del testo unico approvato con decreto legislativo 26 ottobre 1995, n. 504, con determinazione del Direttore dell’Agenzia delle dogane e dei monopoli sono fissati tempi e modalità di esecuzione per la presentazione esclusivamente in forma telematica del relativo documento di accompagnamento. Nella fase di prima attuazione, l’utilizzo del sistema informatizzato trova applicazione entro il 30 giugno 2020 per i trasferimenti della benzina e del gasolio usato come carburante assoggettati ad accisa.  </w:t>
      </w:r>
    </w:p>
    <w:p w:rsidR="00000000" w:rsidDel="00000000" w:rsidP="00000000" w:rsidRDefault="00000000" w:rsidRPr="00000000" w14:paraId="00000201">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20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illustrativa</w:t>
      </w:r>
    </w:p>
    <w:p w:rsidR="00000000" w:rsidDel="00000000" w:rsidP="00000000" w:rsidRDefault="00000000" w:rsidRPr="00000000" w14:paraId="00000203">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L’art. 1, comma 1, del decreto legge 3 ottobre 2006, n. 262, prevede alla lett. b) che con determinazioni del direttore dell’Agenzia delle dogane e dei monopoli sono stabiliti tempi e modalità per la presentazione esclusivamente in forma telematica anche del documento di accompagnamento previsto per la circolazione dei prodotti assoggettati ad accisa.</w:t>
      </w:r>
    </w:p>
    <w:p w:rsidR="00000000" w:rsidDel="00000000" w:rsidP="00000000" w:rsidRDefault="00000000" w:rsidRPr="00000000" w14:paraId="00000204">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decorrenza dell’obbligo è stata più volte differita, da ultimo alla data del 1° gennaio 2020, in relazione alla necessità di allineare gli sviluppi nazionali al piano delle attività predisposto dalla Commissione Europea per l’adozione del menzionato documento in forma elettronica, di prossima ultimazione.        </w:t>
      </w:r>
    </w:p>
    <w:p w:rsidR="00000000" w:rsidDel="00000000" w:rsidP="00000000" w:rsidRDefault="00000000" w:rsidRPr="00000000" w14:paraId="0000020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L’iniziativa legislativa interviene   fissando la data del 30 giugno 2020 entro la quale trova applicazione tale obbligo circoscrivendone, nell’immediatezza dell’introduzione, la portata applicativa ai soli trasferimenti del gasolio per uso carburazione e della benzina lungo tutta la filiera logistica dei predetti carburanti.</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1"/>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tecnica</w:t>
      </w:r>
    </w:p>
    <w:p w:rsidR="00000000" w:rsidDel="00000000" w:rsidP="00000000" w:rsidRDefault="00000000" w:rsidRPr="00000000" w14:paraId="00000208">
      <w:pPr>
        <w:keepNext w:val="1"/>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Nella relazione annuale sull’economia non osservata e sull’evasione fiscale per l’anno 2018, il MEF ha stimato la sottrazione all’accertamento su un quantitativo di 285 milioni di litri di benzina e su 2.272 milioni di litri di gasolio. Tenendo conto delle aliquote vigenti, pari a 0,7284 euro/litro per la benzina e a 0,6174 euro/litro per il gasolio, ai predetti volumi corrisponde un’accisa evasa rispettivamente di 207,6 milioni di euro/anno per la benzina e di 1,402 miliardi di euro/anno per il gasolio. </w:t>
      </w:r>
    </w:p>
    <w:p w:rsidR="00000000" w:rsidDel="00000000" w:rsidP="00000000" w:rsidRDefault="00000000" w:rsidRPr="00000000" w14:paraId="00000209">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Relativamente al gasolio, la predetta stima è suffragata sia dalla conclamata presenza di molteplici illecite spedizioni, dai Paesi dell’Est Europa, di prodotti energetici succedanei del diesel che hanno formato oggetto, sin dal 2013, di numerosi sequestri da parte dell’ADM e della GdF nonché dal riscontro, durante i controlli sui depositi, di documenti di trasporto (denominati DAS – Documento Amministrativo Semplificato), artatamente falsificati per legittimare la provenienza dei suddetti prodotti energetici.</w:t>
      </w:r>
    </w:p>
    <w:p w:rsidR="00000000" w:rsidDel="00000000" w:rsidP="00000000" w:rsidRDefault="00000000" w:rsidRPr="00000000" w14:paraId="0000020A">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Tale illecito traffico intra unionale di carburanti succedanei del gasolio è, altresì, al vaglio dei competenti servizi della Commissione europea al fine di poter definire le più idonee contromisure volte a rafforzare il contrasto all’evasione fiscale. </w:t>
      </w:r>
    </w:p>
    <w:p w:rsidR="00000000" w:rsidDel="00000000" w:rsidP="00000000" w:rsidRDefault="00000000" w:rsidRPr="00000000" w14:paraId="0000020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Nelle more della definizione di tali provvedimenti comunitari, con la norma di che trattasi si introduce, entro il 30 giugno 2020, l’obbligo di utilizzo del sistema telematico dell’Agenzia per l’emissione del predetto DAS per gli esercenti i depositi, sia gestiti in regime sospensivo sia ad imposta assolta, che spediscono il gasolio per uso carburazione e la benzina nell’intera filiera logistica nazionale. </w:t>
      </w:r>
    </w:p>
    <w:p w:rsidR="00000000" w:rsidDel="00000000" w:rsidP="00000000" w:rsidRDefault="00000000" w:rsidRPr="00000000" w14:paraId="0000020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tal modo, si rende molto più difficoltosa la falsificazione di tali documenti (e, quindi, l’illecita immissione in consumo dei carburanti che essi scortano nel territorio dello Stato) e, nel contempo, se ne rende possibile la tenuta in forma dematerializzata nelle contabilità degli operatori del settore. </w:t>
      </w:r>
    </w:p>
    <w:p w:rsidR="00000000" w:rsidDel="00000000" w:rsidP="00000000" w:rsidRDefault="00000000" w:rsidRPr="00000000" w14:paraId="0000020D">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Quest’ultima circostanza, eliminando la necessità di ricorrere alla conservazione di copie cartacee, consentirà il sistematico controllo da parte dell’ADM e della GdF dei DAS ricevuti ed emessi dai predetti operatori durante le verifiche con accesso, incrementandone l’efficacia.</w:t>
      </w:r>
    </w:p>
    <w:p w:rsidR="00000000" w:rsidDel="00000000" w:rsidP="00000000" w:rsidRDefault="00000000" w:rsidRPr="00000000" w14:paraId="0000020E">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 i predetti motivi, con la norma di che trattasi si stima di poter recuperare oltre un terzo del predetto tax-gap di 1,402 miliardi di euro/anno sul gasolio autotrazione, per un maggior gettito annuo di 480 milioni di euro. Gli effetti per l’anno 2020 sono limitati a soli sei mesi di operatività e, quindi, pari a 240 milioni di euro.</w:t>
      </w:r>
    </w:p>
    <w:p w:rsidR="00000000" w:rsidDel="00000000" w:rsidP="00000000" w:rsidRDefault="00000000" w:rsidRPr="00000000" w14:paraId="0000020F">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ritiene di introdurre la modifica proposta in fase di prima applicazione solo per il gasolio per uso carburazione e la benzina in quanto trattasi dei prodotti oggetto di frode; verificata poi l’efficacia dell’informatizzazione dell’emissione del DAS per tali prodotti, tale sistema sarà esteso anche agli altri prodotti assoggettati ad accisa ed agevolati.    </w:t>
      </w:r>
    </w:p>
    <w:p w:rsidR="00000000" w:rsidDel="00000000" w:rsidP="00000000" w:rsidRDefault="00000000" w:rsidRPr="00000000" w14:paraId="00000210">
      <w:pPr>
        <w:keepNext w:val="1"/>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disposizione non comporta oneri aggiuntivi a carico del bilancio dello Stato. L’Agenzia provvede agli adempimenti connessi all’attuazione con le risorse umane, strumentali e finanziarie disponibili a legislazione vigente.</w:t>
      </w:r>
    </w:p>
    <w:p w:rsidR="00000000" w:rsidDel="00000000" w:rsidP="00000000" w:rsidRDefault="00000000" w:rsidRPr="00000000" w14:paraId="00000211">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12</w:t>
      </w:r>
    </w:p>
    <w:p w:rsidR="00000000" w:rsidDel="00000000" w:rsidP="00000000" w:rsidRDefault="00000000" w:rsidRPr="00000000" w14:paraId="0000021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Trasmissione telematica dei quantitativi di energia elettrica e di gas naturale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216">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7">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Con determinazione del Direttore dell’Agenzia delle dogane e dei monopoli sono fissati tempi e modalità di esecuzione per la presentazione esclusivamente in forma telematica, da parte dei soggetti che effettuano l’attività di vettoriamento nel settore del gas naturale e dell’energia elettrica, dei dati relativi al prodotto trasportato distintamente per ciascuno dei soggetti obbligati di cui all’articolo 26, comma 7, lettera a), e all’articolo 53, comma 1, lettera a)  di cui al testo unico approvato con decreto legislativo 26 ottobre 1995, n. 504; con la medesima determinazione sono fissati tempi e modalità con i quali i predetti soggetti obbligati trasmettono i dati relativi ai quantitativi di gas naturale ed energia elettrica fatturati distintamente per destinazione d’uso.   </w:t>
      </w:r>
    </w:p>
    <w:p w:rsidR="00000000" w:rsidDel="00000000" w:rsidP="00000000" w:rsidRDefault="00000000" w:rsidRPr="00000000" w14:paraId="00000218">
      <w:pPr>
        <w:spacing w:after="0" w:lineRule="auto"/>
        <w:ind w:firstLine="70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illustrativa</w:t>
      </w:r>
    </w:p>
    <w:p w:rsidR="00000000" w:rsidDel="00000000" w:rsidP="00000000" w:rsidRDefault="00000000" w:rsidRPr="00000000" w14:paraId="0000021A">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L’accisa sul gas naturale è allo stato accertata tramite dichiarazioni di consumo annuali rese dai soggetti obbligati che procedono alla fatturazione ai clienti finali, nelle quali sono tra l’altro indicati i quantitativi fatturati e la relativa liquidazione dell’imposta. Nell’anno di competenza, il tributo è pagato dai predetti soggetti obbligati con rate di acconto mensili costanti, determinate sulla base dei consumi fatturati nell’anno precedente, e con un versamento a saldo di eventuali debiti derivanti dalla predetta dichiarazione.</w:t>
      </w:r>
    </w:p>
    <w:p w:rsidR="00000000" w:rsidDel="00000000" w:rsidP="00000000" w:rsidRDefault="00000000" w:rsidRPr="00000000" w14:paraId="0000021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Tuttavia, la cadenza temporale annua di tale dichiarazione non consente all’Amministrazione finanziaria di avere tempestivamente contezza di eventuali irregolarità che i soggetti obbligati potrebbero porre in essere nella liquidazione e nel pagamento. Inoltre, in assenza di riscontri sui quantitativi di gas realmente forniti ai clienti finali, l’Amministrazione finanziaria non è in grado di tempestivamente controllare se i quantitativi fatturati siano effettivamente congrui con i quantitativi forniti.</w:t>
      </w:r>
    </w:p>
    <w:p w:rsidR="00000000" w:rsidDel="00000000" w:rsidP="00000000" w:rsidRDefault="00000000" w:rsidRPr="00000000" w14:paraId="0000021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Queste due criticità sono divenute ancor più evidenti a seguito del processo di liberalizzazione del relativo mercato che ha comportato un drastico aumento degli operatori economici nel settore. </w:t>
      </w:r>
    </w:p>
    <w:p w:rsidR="00000000" w:rsidDel="00000000" w:rsidP="00000000" w:rsidRDefault="00000000" w:rsidRPr="00000000" w14:paraId="0000021D">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Analoga dinamica è rinvenibile nel settore delle forniture di energia elettrica. </w:t>
      </w:r>
    </w:p>
    <w:p w:rsidR="00000000" w:rsidDel="00000000" w:rsidP="00000000" w:rsidRDefault="00000000" w:rsidRPr="00000000" w14:paraId="0000021E">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proposta normativa consente all’Amministrazione finanziaria di aumentare la frequenza con cui i dati contabili del settore sono resi disponibili e, conseguentemente, di identificare tempestivamente fenomeni evasivi.</w:t>
      </w:r>
    </w:p>
    <w:p w:rsidR="00000000" w:rsidDel="00000000" w:rsidP="00000000" w:rsidRDefault="00000000" w:rsidRPr="00000000" w14:paraId="0000021F">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rappresenta, inoltre, che il provvedimento di che trattasi, mettendo a disposizione dell’Amministrazione finanziaria i dati elementari necessari per la gestione del tributo con una frequenza più consona rispetto al dinamicità del contesto economico - operativo che caratterizza il settore, consentirà a regime di introdurre la dichiarazione precompilata, con il conseguente effetto di semplificazione degli adempimenti per gli operatori del settore.</w:t>
      </w:r>
    </w:p>
    <w:p w:rsidR="00000000" w:rsidDel="00000000" w:rsidP="00000000" w:rsidRDefault="00000000" w:rsidRPr="00000000" w14:paraId="00000220">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tecnica</w:t>
      </w:r>
    </w:p>
    <w:p w:rsidR="00000000" w:rsidDel="00000000" w:rsidP="00000000" w:rsidRDefault="00000000" w:rsidRPr="00000000" w14:paraId="00000222">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L’Amministrazione finanziaria ha, nell’ultimo quinquennio, constatato molteplici frodi nel settore del gas naturale, con media dei maggiori diritti accertati pari a circa 62  milioni /anno, per le quali tuttavia le possibilità di recupero effettivo sono particolarmente esigue, in quanto le Società responsabili dell’evasione, al momento della scoperta, risultano usualmente coinvolte in procedure concorsuali ovvero in procedimenti penali per bancarotta fraudolenta con conseguente impossibilità di aggredire i capitali sociali residui. </w:t>
      </w:r>
    </w:p>
    <w:p w:rsidR="00000000" w:rsidDel="00000000" w:rsidP="00000000" w:rsidRDefault="00000000" w:rsidRPr="00000000" w14:paraId="00000223">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tali evidenze si deve, inoltre aggiungere la circostanza che il rapporto annuo tra le quantità fatturate e quelle fornite ha subito nell’ultimo biennio una riduzione rispetto al valore degli anni precedenti. Tale circostanza potrebbe essere imputabile ad una mancata dichiarazione all’erario di prodotto su cui si è verificata l’esigibilità dell’imposta.</w:t>
      </w:r>
    </w:p>
    <w:p w:rsidR="00000000" w:rsidDel="00000000" w:rsidP="00000000" w:rsidRDefault="00000000" w:rsidRPr="00000000" w14:paraId="00000224">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 contrastare tale fenomeni è, pertanto, necessario che l’Amministrazione finanziaria abbia a disposizione, con maggiore tempestività rispetto all’attuale cadenza annuale, sia i dati quantitativi e di liquidazione relativi al gas naturale fatturato, da parte dei venditori, sia i dati quantitativi sul gas naturale fornito a ciascun venditore, da parte dei distributori.</w:t>
      </w:r>
    </w:p>
    <w:p w:rsidR="00000000" w:rsidDel="00000000" w:rsidP="00000000" w:rsidRDefault="00000000" w:rsidRPr="00000000" w14:paraId="0000022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tal modo sarà possibile verificare, con cadenza definita con apposite determinazioni direttoriali dell’ADM, che i quantitativi fatturati (come dichiarati dai venditori) sono congruenti con quelli forniti (come dichiarati dai distributori) e che l’imposta percepita dai venditori è regolarmente versata all’erario.</w:t>
      </w:r>
    </w:p>
    <w:p w:rsidR="00000000" w:rsidDel="00000000" w:rsidP="00000000" w:rsidRDefault="00000000" w:rsidRPr="00000000" w14:paraId="00000226">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Analoga fenomenologia è applicabile al settore dell’energia elettrica, limitatamente a quale i maggiori diritti accertati nell’ultimo quinquennio sono stati pari a circa 55 milioni / anno. Per tale prodotto, tuttavia, non sono state evidenziate sostanziali anomalie nell’andamento temporale del rapporto annuo tra le quantità fatturate e quelle fornite. </w:t>
      </w:r>
    </w:p>
    <w:p w:rsidR="00000000" w:rsidDel="00000000" w:rsidP="00000000" w:rsidRDefault="00000000" w:rsidRPr="00000000" w14:paraId="00000227">
      <w:pPr>
        <w:keepNext w:val="1"/>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 i predetti motivi, con la norma di che trattasi si stima di poter recuperare complessivamente un maggior gettito di 240 milioni di euro/anno. Gli effetti per l’anno 2020 sono limitati a soli sei mesi di operatività e, quindi, pari a 120 milioni di euro.</w:t>
      </w:r>
    </w:p>
    <w:p w:rsidR="00000000" w:rsidDel="00000000" w:rsidP="00000000" w:rsidRDefault="00000000" w:rsidRPr="00000000" w14:paraId="00000228">
      <w:pPr>
        <w:keepNext w:val="1"/>
        <w:spacing w:after="0" w:lineRule="auto"/>
        <w:jc w:val="both"/>
        <w:rPr>
          <w:rFonts w:ascii="Times New Roman" w:cs="Times New Roman" w:eastAsia="Times New Roman" w:hAnsi="Times New Roman"/>
          <w:b w:val="1"/>
          <w:color w:val="000000"/>
          <w:sz w:val="24"/>
          <w:szCs w:val="24"/>
          <w:highlight w:val="yellow"/>
          <w:u w:val="single"/>
        </w:rPr>
      </w:pPr>
      <w:r w:rsidDel="00000000" w:rsidR="00000000" w:rsidRPr="00000000">
        <w:rPr>
          <w:rFonts w:ascii="Times New Roman" w:cs="Times New Roman" w:eastAsia="Times New Roman" w:hAnsi="Times New Roman"/>
          <w:color w:val="000000"/>
          <w:sz w:val="24"/>
          <w:szCs w:val="24"/>
          <w:rtl w:val="0"/>
        </w:rPr>
        <w:t xml:space="preserve">La disposizione non comporta oneri aggiuntivi a carico del bilancio dello Stato. L’Agenzia provvede agli adempimenti connessi all’attuazione con le risorse umane, strumentali e finanziarie disponibili a legislazione vigente.</w:t>
      </w:r>
      <w:r w:rsidDel="00000000" w:rsidR="00000000" w:rsidRPr="00000000">
        <w:rPr>
          <w:rtl w:val="0"/>
        </w:rPr>
      </w:r>
    </w:p>
    <w:p w:rsidR="00000000" w:rsidDel="00000000" w:rsidP="00000000" w:rsidRDefault="00000000" w:rsidRPr="00000000" w14:paraId="0000022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13</w:t>
      </w:r>
    </w:p>
    <w:p w:rsidR="00000000" w:rsidDel="00000000" w:rsidP="00000000" w:rsidRDefault="00000000" w:rsidRPr="00000000" w14:paraId="0000022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Disposizioni in materia di confisca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2C">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44 del testo unico delle disposizioni legislative concernenti le imposte sulla produzione e sui consumi e relative sanzioni penali e amministrative, approvato con decreto legislativo 26 ottobre 1995, n. 504, dopo il comma 1 sono aggiunti i seguenti: “1-bis. Nel caso di condanna o di applicazione della pena su richiesta delle parti a norma dell’articolo 444 del codice di procedura penale per uno dei delitti previsti dal presente Capo, è sempre ordinata la confisca dei beni che ne costituiscono il profitto o il prezzo, salvo che appartengano a persona estranea al reato, ovvero, quando essa non è possibile, la confisca di beni, di cui il reo ha la disponibilità, per un valore corrispondente a tale prezzo o profitto.</w:t>
      </w:r>
    </w:p>
    <w:p w:rsidR="00000000" w:rsidDel="00000000" w:rsidP="00000000" w:rsidRDefault="00000000" w:rsidRPr="00000000" w14:paraId="0000022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1-ter. La confisca di cui al comma 1-bis non opera per la parte che il contribuente si impegna a versare all’erario anche in presenza di sequestro. Nel caso di mancato versamento la confisca è sempre disposta.”.</w:t>
      </w:r>
    </w:p>
    <w:p w:rsidR="00000000" w:rsidDel="00000000" w:rsidP="00000000" w:rsidRDefault="00000000" w:rsidRPr="00000000" w14:paraId="0000022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All’articolo 12-bis della legge 10 marzo 2000, n. 74, dopo il comma 2 è inserito il seguente: “2-bis. Fermo restando quanto previsto al comma 1, nel caso di condanna o di applicazione della pena su richiesta delle parti a norma dell'articolo 444 del codice di procedura penale per uno dei delitti previsti dal presente decreto, si applica altresì l’articolo 240-bis del codice penale.”.</w:t>
      </w:r>
    </w:p>
    <w:p w:rsidR="00000000" w:rsidDel="00000000" w:rsidP="00000000" w:rsidRDefault="00000000" w:rsidRPr="00000000" w14:paraId="0000023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23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Comma 1</w:t>
      </w:r>
    </w:p>
    <w:p w:rsidR="00000000" w:rsidDel="00000000" w:rsidP="00000000" w:rsidRDefault="00000000" w:rsidRPr="00000000" w14:paraId="0000023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L’illegalità nel comparto dei prodotti sottoposti ad accisa (principalmente prodotti energetici ed alcolici) rappresenta un vulnus estremamente grave per le casse erariali, nonché per le imprese facenti parte della filiera commerciale, danneggiate dalla concorrenza sleale degli operatori che, evadendo l’imposta, riescono e immettere sul mercato merci a prezzi più vantaggiosi e a generare “utili” maggiori contribuendo, altresì, a togliere “spazio” all’economia legale a favore di quella criminale. </w:t>
      </w:r>
    </w:p>
    <w:p w:rsidR="00000000" w:rsidDel="00000000" w:rsidP="00000000" w:rsidRDefault="00000000" w:rsidRPr="00000000" w14:paraId="0000023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 punto di vista tributario, i fenomeni evasivi, che hanno visto impegnata la Guardia di finanza, si sono dimostrati, negli anni, di proporzioni sempre maggiori e riconducibili a complessi sistemi fraudolenti, anche di portata internazionale, che hanno generato perdite per le finanze pubbliche. </w:t>
      </w:r>
    </w:p>
    <w:p w:rsidR="00000000" w:rsidDel="00000000" w:rsidP="00000000" w:rsidRDefault="00000000" w:rsidRPr="00000000" w14:paraId="0000023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proposta mira, pertanto, a inasprire l’azione repressiva ai delitti in materia di accise, attraverso un intervento che, da una parte, rende obbligatoria la confisca del relativo profitto (ora solo facoltativa, ai sensi dell’articolo 240, primo comma, del codice penale) e, dall’altra, con riferimento tanto al prezzo del reato (la cui confisca è sempre obbligatoria, a norma dell’articolo 240, secondo comma, n. 1, del codice penale) quanto al profitto, introduce la possibilità della confisca “di valore” (o “per equivalente”).</w:t>
      </w:r>
    </w:p>
    <w:p w:rsidR="00000000" w:rsidDel="00000000" w:rsidP="00000000" w:rsidRDefault="00000000" w:rsidRPr="00000000" w14:paraId="0000023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Ciò, tenuto conto che negli ultimi anni, nel corso di numerose operazioni di servizio nello specifico settore condotte dalla Guardia di finanza non è stato possibile aggredire efficacemente e in maniera penetrante, sotto il profilo patrimoniale, le ricchezze illecitamente accumulate dai sodalizi delinquenziali dediti a tali traffici illeciti, ormai sempre più frequentemente contigui, attesa la remuneratività delle frodi della specie, alla criminalità organizzata. Infatti, per tali soggetti è sufficiente occultare il profitto del reato o confonderlo con gli altri beni in proprio possesso per evitarne il sequestro e la successiva confisca diretta. </w:t>
      </w:r>
    </w:p>
    <w:p w:rsidR="00000000" w:rsidDel="00000000" w:rsidP="00000000" w:rsidRDefault="00000000" w:rsidRPr="00000000" w14:paraId="0000023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tale contesto la confisca di valore, che si intende introdurre con la presente norma, operando in assenza di un vincolo di pertinenzialità tra la res (che potrebbe essere entrata nella proprietà del reo anche in modo legittimo e anche prima della commissione del reato) e il reato, ha a oggetto beni di pregio corrispondente al prezzo o al profitto del reato nella disponibilità del reo ed è destinato ad applicarsi allorché la confisca “diretta” dei medesimi prezzo o profitto non risulti praticabile. </w:t>
      </w:r>
    </w:p>
    <w:p w:rsidR="00000000" w:rsidDel="00000000" w:rsidP="00000000" w:rsidRDefault="00000000" w:rsidRPr="00000000" w14:paraId="0000023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confisca “di valore” è estranea al dettato del citato articolo 240 del codice penale, essendo contemplata dal vigente ordinamento solo per talune figure di reato, il cui novero è andato, via via, integrandosi, per fronteggiare nuove forme di criminalità, soprattutto economica: dapprima prevista per il solo reato di usura, la misura è stata, poi, estesa ai piú gravi delitti dei pubblici ufficiali contro la pubblica amministrazione, alla truffa aggravata in danno dello Stato o di altro ente pubblico, alla truffa aggravata per il conseguimento di erogazioni pubbliche, al riciclaggio, all’impiego di denaro, beni o utilità di provenienza illecita, all’autoriciclaggio, ai delitti in tema di sistemi informatici (di cui agli articoli 615-ter, 615-quater, 615-quinquies, 617-bis, 617-ter, 617-quater, 617-quinquies, 617-sexies, 635-bis, 635-ter, 635-quater, 635-quinquies, 640-ter e 640-quinquies del codice penale) nonché ai reati in materia di imposte sui redditi e sul valore aggiunto.</w:t>
      </w:r>
    </w:p>
    <w:p w:rsidR="00000000" w:rsidDel="00000000" w:rsidP="00000000" w:rsidRDefault="00000000" w:rsidRPr="00000000" w14:paraId="0000023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Avuto riguardo ai reati tributari, giova rammentare che la riforma attuata con il decreto legislativo 24 settembre 2015, n. 158, oltre a offrire una collocazione sistematica (il decreto legislativo 10 marzo 2000, n. 74) ha anche innovativamente stabilito che la confisca del prezzo o del profitto dei predetti reati “non opera per la parte che il contribuente si impegna a versare all’erario anche in presenza di sequestro” e che in caso di “mancato versamento la confisca è sempre disposta”. In tal modo, si è inteso far prevalere le pretese dell’Erario su quelle ablatorie statuali, analogamente a quanto sancito, in tema di responsabilità amministrativa degli enti, dall’articolo 19 del decreto legislativo 8 giugno 2001, n. 231 (che esclude la confisca all’ente “per la parte che può essere restituita al danneggiato”).</w:t>
      </w:r>
    </w:p>
    <w:p w:rsidR="00000000" w:rsidDel="00000000" w:rsidP="00000000" w:rsidRDefault="00000000" w:rsidRPr="00000000" w14:paraId="0000023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Considerato che le condotte di evasione fiscale, quale che sia il tributo evaso, sono connotate dal medesimo disvalore sociale, è del tutto razionale e conforme al precetto dell’eguaglianza sostanziale uniformarne il trattamento sanzionatorio, se non altro con riferimento alla pena accessoria della confisca, giacché si tratta di una sanzione la cui entità è commisurata al vantaggio patrimoniale conseguente al mancato pagamento delle imposte, al netto, peraltro, di quanto il contribuente si impegna a versare (come sancito dall’articolo 12-bis, comma 2, del decreto legislativo 10 marzo 2000, n. 74, la cui disposizione è riprodotta nel capoverso “1-ter.” della presente proposta).</w:t>
      </w:r>
    </w:p>
    <w:p w:rsidR="00000000" w:rsidDel="00000000" w:rsidP="00000000" w:rsidRDefault="00000000" w:rsidRPr="00000000" w14:paraId="0000023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misura qui proposta, inoltre, è dotata di particolare incisività, tenuto conto che, ai sensi dell’articolo 321, comma 2, del codice di procedura penale, già nel corso delle indagini preliminari si può procedere al sequestro preventivo di tutte le cose suscettibili di confisca, aspetto che risulta estremamente utile, anche in un’ottica di prevenzione, consentendo di sottrarre sin da subito all’indagato il vantaggio della sua condotta criminosa. </w:t>
      </w:r>
    </w:p>
    <w:p w:rsidR="00000000" w:rsidDel="00000000" w:rsidP="00000000" w:rsidRDefault="00000000" w:rsidRPr="00000000" w14:paraId="0000023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Comma 2</w:t>
      </w:r>
    </w:p>
    <w:p w:rsidR="00000000" w:rsidDel="00000000" w:rsidP="00000000" w:rsidRDefault="00000000" w:rsidRPr="00000000" w14:paraId="0000023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proposta è volta a rendere applicabile l’istituto della confisca penale “per sproporzione” (confisca obbligatoria dei beni di cui il condannato non può giustificare la legittima provenienza e di cui risulta essere titolare o avere la disponibilità a qualsiasi titolo in valore sproporzionato al proprio reddito), disciplinata dall’art. 240-bis c.p., anche alle ipotesi di condanna per reati fiscali di cui al d.lgs. 10 marzo 2000, n. 74.</w:t>
      </w:r>
    </w:p>
    <w:p w:rsidR="00000000" w:rsidDel="00000000" w:rsidP="00000000" w:rsidRDefault="00000000" w:rsidRPr="00000000" w14:paraId="0000023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risultati delle attività investigative e giudiziarie evidenziano, infatti, che la capacità operativa e il potere delle organizzazioni criminali si fondano, principalmente, sull’abilità di accumulare, occultare e reimpiegare i proventi illeciti.</w:t>
      </w:r>
    </w:p>
    <w:p w:rsidR="00000000" w:rsidDel="00000000" w:rsidP="00000000" w:rsidRDefault="00000000" w:rsidRPr="00000000" w14:paraId="0000024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tali basi, il legislatore ha ritenuto di superare il modello tradizionale di confisca diretta (o pertinenziale), delineato nel nostro ordinamento dall’art. 240 c.p. Tale misura, infatti, richiedendo un nesso strumentale tra res e reato, risulta raramente applicabile ai reati di natura economica per la concreta difficoltà di individuare ex post, nel patrimonio del trasgressore, i proventi dell’attività delittuosa, perché consumati o confusi con gli altri beni nella sua disponibilità, perché ceduti a terzi in buona fede, ovvero perché reinvestiti o anche solo artatamente occultati. </w:t>
      </w:r>
    </w:p>
    <w:p w:rsidR="00000000" w:rsidDel="00000000" w:rsidP="00000000" w:rsidRDefault="00000000" w:rsidRPr="00000000" w14:paraId="0000024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legislazione vigente sono già applicabili ai reati tributari la confisca “per equivalente”, disciplinata dall’art. 12-bis del d.lgs. 10 marzo 2000, n. 74, e le misure di prevenzione patrimoniali previste dal d.lgs. n. 159/2011 (c.d. “Codice antimafia”) allorquando debba ritenersi, sulla base di elementi di fatto, che l’evasore fiscale sia abitualmente dedito a traffici delittuosi o viva abitualmente, anche in parte, con i proventi di attività delittuose. </w:t>
      </w:r>
    </w:p>
    <w:p w:rsidR="00000000" w:rsidDel="00000000" w:rsidP="00000000" w:rsidRDefault="00000000" w:rsidRPr="00000000" w14:paraId="0000024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risulta, di contro, applicabile la confisca penale “per sproporzione” originariamente prevista dall’art. 12-sexies del D.L. n. 306/92 e ora disciplinata dall’art. 240-bis c.p. (introdotto dall’art. 6, comma 1, del d.lgs. n. 21/2018), posto che tale previsione, nel codificare i casi di confisca obbligatoria dei beni di cui il condannato non può giustificare la legittima provenienza, non contempla le ipotesi di condanna per reati fiscali. L’incisività di tale ultimo istituto giuridico è, peraltro, testimoniata dal fatto che il legislatore ha, nel tempo, progressivamente ampliato, con diversi interventi normativi, la platea dei reati a cui può essere applicato, arrivando a ricomprendervi, a titolo esemplificativo, anche i reati contro la Pubblica Amministrazione e le attività investigative svolte in tali settori ne hanno dimostrato concretamente la straordinaria efficacia. </w:t>
      </w:r>
    </w:p>
    <w:p w:rsidR="00000000" w:rsidDel="00000000" w:rsidP="00000000" w:rsidRDefault="00000000" w:rsidRPr="00000000" w14:paraId="0000024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rendere più sistematica e completa la disciplina delle misure di aggressione patrimoniale nel settore penale tributario si prevede quindi di integrare le disposizioni contemplate dal citato art. 12-bis del d.lgs. n. 74/2000, al fine di ricomprendervi la confisca “per sproporzione”. La scelta di introdurre la prospettata modifica nel richiamato decreto legislativo, recante la disciplina dei reati in materia di imposte sui redditi e sul valore aggiunto, tiene conto di analoghe integrazioni apportate nell’ambito di altre normative penali speciali intervenendo sui pertinenti provvedimenti che disciplinano in modo organico la materia.</w:t>
      </w:r>
    </w:p>
    <w:p w:rsidR="00000000" w:rsidDel="00000000" w:rsidP="00000000" w:rsidRDefault="00000000" w:rsidRPr="00000000" w14:paraId="0000024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24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non è suscettibile di comportare nuovi o maggiori oneri, ovvero minori entrate, a carico della finanza pubblica, poiché le relative attività sono realizzabili attraverso le risorse umane e strumentali disponibili a legislazione vigente.</w:t>
      </w:r>
    </w:p>
    <w:p w:rsidR="00000000" w:rsidDel="00000000" w:rsidP="00000000" w:rsidRDefault="00000000" w:rsidRPr="00000000" w14:paraId="0000024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14</w:t>
      </w:r>
    </w:p>
    <w:p w:rsidR="00000000" w:rsidDel="00000000" w:rsidP="00000000" w:rsidRDefault="00000000" w:rsidRPr="00000000" w14:paraId="0000024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Trust esteri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4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 testo unico delle imposte sui redditi di cui al decreto del Presidente della Repubblica 22 dicembre 1986, n. 917, sono apportate le seguenti modificazioni: </w:t>
      </w:r>
    </w:p>
    <w:p w:rsidR="00000000" w:rsidDel="00000000" w:rsidP="00000000" w:rsidRDefault="00000000" w:rsidRPr="00000000" w14:paraId="0000024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 all’ articolo 44, comma 1, lettera g-sexies), dopo le parole “anche se non residenti” sono aggiunte le seguenti: “, nonché i redditi corrisposti a residenti italiani da trust e istituti aventi analogo contenuto stabiliti in Stati e territori che con riferimento al trattamento dei redditi prodotti dal trust si considerano a fiscalità privilegiata ai sensi dell’articolo 47-bis, anche qualora i percipienti residenti non possono essere considerati beneficiari individuati ai sensi dell’articolo 73”.</w:t>
      </w:r>
    </w:p>
    <w:p w:rsidR="00000000" w:rsidDel="00000000" w:rsidP="00000000" w:rsidRDefault="00000000" w:rsidRPr="00000000" w14:paraId="0000024D">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all’articolo 45, dopo il comma 4-ter è aggiunto il seguente: “4-quater. Qualora in relazione alle attribuzioni di trust esteri, nonché di istituti aventi analogo contenuto, a beneficiari residenti in Italia, non sia possibile distinguere tra redditi e patrimonio l’intero ammontare percepito costituisce reddito.”.</w:t>
      </w:r>
    </w:p>
    <w:p w:rsidR="00000000" w:rsidDel="00000000" w:rsidP="00000000" w:rsidRDefault="00000000" w:rsidRPr="00000000" w14:paraId="0000024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All’articolo 25, comma 1, del decreto-legge 22 giugno 2012, n. 83, convertito, con modificazioni, dalla legge 7 agosto 2012, n. 134, la lettera a) è sostituita dalla seguente: “a) si avvalgono anche dei poteri e delle facoltà previsti dall’articolo 9, commi 4, lettera a), e 6, lettere a) e b), del decreto legislativo 21 novembre 2007, n. 231;”.</w:t>
      </w:r>
    </w:p>
    <w:p w:rsidR="00000000" w:rsidDel="00000000" w:rsidP="00000000" w:rsidRDefault="00000000" w:rsidRPr="00000000" w14:paraId="0000024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25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legge finanziaria 2007 (comma 74, art. 1, legge 27 dicembre 2006, n. 296), ha stabilito che i trust rientrano fra i soggetti passivi IRES. Inoltre, l’articolo 73, comma 2, ultimo periodo del TUIR dispone che nel caso di trust cosiddetti “trasparenti” (vale a dire trust con “beneficiari individuati”) i redditi prodotti dal trust sono imputati ai beneficiari stessi “in ogni caso”, cioè “indipendentemente” dall’effettiva percezione, secondo un criterio di competenza per trasparenza e, conseguentemente, tali redditi sono assoggettati ad imposizione nei confronti dei beneficiari.</w:t>
      </w:r>
    </w:p>
    <w:p w:rsidR="00000000" w:rsidDel="00000000" w:rsidP="00000000" w:rsidRDefault="00000000" w:rsidRPr="00000000" w14:paraId="0000025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redditi attribuiti ai beneficiari sono classificati nella categoria dei redditi di capitale ai sensi della lettera g-sexies), comma 1, dell’articolo 44 del TUIR. Più precisamente, tale lettera dispone che costituiscono redditi di capitale “i redditi imputati al beneficiario di trust ai sensi dell’articolo 73, comma 2, anche se non residenti”.</w:t>
      </w:r>
    </w:p>
    <w:p w:rsidR="00000000" w:rsidDel="00000000" w:rsidP="00000000" w:rsidRDefault="00000000" w:rsidRPr="00000000" w14:paraId="0000025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Stante il riferimento letterale ai “redditi imputati”, le attuali disposizioni fiscali in materia di imposte dirette possono essere riferite sicuramente anche ai “beneficiari individuati” di trust esteri “trasparenti” mentre è più difficile ricomprendere nell’ambito di applicazione delle stesse i trust “opachi” esteri (vale a dire trust i cui eventuali beneficiari possono ricevere il reddito, o parte del reddito, del trust solo a seguito di una scelta discrezionale operata dal trustee).</w:t>
      </w:r>
    </w:p>
    <w:p w:rsidR="00000000" w:rsidDel="00000000" w:rsidP="00000000" w:rsidRDefault="00000000" w:rsidRPr="00000000" w14:paraId="0000025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di cui al </w:t>
      </w:r>
      <w:r w:rsidDel="00000000" w:rsidR="00000000" w:rsidRPr="00000000">
        <w:rPr>
          <w:rFonts w:ascii="Times New Roman" w:cs="Times New Roman" w:eastAsia="Times New Roman" w:hAnsi="Times New Roman"/>
          <w:b w:val="1"/>
          <w:sz w:val="24"/>
          <w:szCs w:val="24"/>
          <w:rtl w:val="0"/>
        </w:rPr>
        <w:t xml:space="preserve">comma 1 </w:t>
      </w:r>
      <w:r w:rsidDel="00000000" w:rsidR="00000000" w:rsidRPr="00000000">
        <w:rPr>
          <w:rFonts w:ascii="Times New Roman" w:cs="Times New Roman" w:eastAsia="Times New Roman" w:hAnsi="Times New Roman"/>
          <w:sz w:val="24"/>
          <w:szCs w:val="24"/>
          <w:rtl w:val="0"/>
        </w:rPr>
        <w:t xml:space="preserve">è finalizzata a risolvere problematiche di carattere interpretativo e operativo.</w:t>
      </w:r>
    </w:p>
    <w:p w:rsidR="00000000" w:rsidDel="00000000" w:rsidP="00000000" w:rsidRDefault="00000000" w:rsidRPr="00000000" w14:paraId="0000025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di cui al </w:t>
      </w:r>
      <w:r w:rsidDel="00000000" w:rsidR="00000000" w:rsidRPr="00000000">
        <w:rPr>
          <w:rFonts w:ascii="Times New Roman" w:cs="Times New Roman" w:eastAsia="Times New Roman" w:hAnsi="Times New Roman"/>
          <w:b w:val="1"/>
          <w:sz w:val="24"/>
          <w:szCs w:val="24"/>
          <w:rtl w:val="0"/>
        </w:rPr>
        <w:t xml:space="preserve">comma 2</w:t>
      </w:r>
      <w:r w:rsidDel="00000000" w:rsidR="00000000" w:rsidRPr="00000000">
        <w:rPr>
          <w:rFonts w:ascii="Times New Roman" w:cs="Times New Roman" w:eastAsia="Times New Roman" w:hAnsi="Times New Roman"/>
          <w:sz w:val="24"/>
          <w:szCs w:val="24"/>
          <w:rtl w:val="0"/>
        </w:rPr>
        <w:t xml:space="preserve">, invece,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è volta a modificare l’art. 25 del decreto-legge n. 83/2012, che già consente:</w:t>
      </w:r>
    </w:p>
    <w:p w:rsidR="00000000" w:rsidDel="00000000" w:rsidP="00000000" w:rsidRDefault="00000000" w:rsidRPr="00000000" w14:paraId="0000025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al Ministero dello Sviluppo Economico di avvalersi del Nucleo Speciale Spesa Pubblica e Repressione Frodi Comunitarie della Guardia di finanza per i controlli sui programmi d’investimento ammessi alle agevolazioni previste dal medesimo provvedimento;</w:t>
      </w:r>
    </w:p>
    <w:p w:rsidR="00000000" w:rsidDel="00000000" w:rsidP="00000000" w:rsidRDefault="00000000" w:rsidRPr="00000000" w14:paraId="0000025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al citato Nucleo Speciale di utilizzare taluni poteri previsti dalla disciplina antiriciclaggio di cui al D.Lgs. n. 231/2007, sia per le finalità di cui al precedente alinea che, in via generale, per lo svolgimento di analisi, ispezioni e controlli nel settore della spesa pubblica.</w:t>
      </w:r>
    </w:p>
    <w:p w:rsidR="00000000" w:rsidDel="00000000" w:rsidP="00000000" w:rsidRDefault="00000000" w:rsidRPr="00000000" w14:paraId="0000025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si inserisce, nell’ambito del citato art. 25, comma 1, lettera a), un richiamo all’art. 9, comma 6, lett. b) del d.lgs. n. 231/2007, allo scopo di estendere al Nucleo Speciale Spesa Pubblica e Repressione Frodi Comunitarie la possibilità - già prevista per il Nucleo Speciale di Polizia Valutaria in materia di antiriciclaggio - di accedere, per le suddette finalità, alle informazioni afferenti alla “titolarità effettiva” di persone giuridiche e trust, che tali soggetti hanno l’obbligo di comunicare al “Registro delle imprese”, presso cui sono detenute in apposite sezioni speciali.  </w:t>
      </w:r>
    </w:p>
    <w:p w:rsidR="00000000" w:rsidDel="00000000" w:rsidP="00000000" w:rsidRDefault="00000000" w:rsidRPr="00000000" w14:paraId="0000025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tale modifica:</w:t>
      </w:r>
    </w:p>
    <w:p w:rsidR="00000000" w:rsidDel="00000000" w:rsidP="00000000" w:rsidRDefault="00000000" w:rsidRPr="00000000" w14:paraId="0000025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il Nucleo Speciale Spesa Pubblica e Repressione Frodi Comunitarie può ottenere informazioni puntuali e aggiornate, utili a rafforzare l’attività di prevenzione, ricerca e repressione delle frodi in danno del bilancio pubblico e rendere più efficace/incisiva l’attività di ricerca e sequestro delle disponibilità patrimoniali dei soggetti responsabili delle violazioni accertate;</w:t>
      </w:r>
    </w:p>
    <w:p w:rsidR="00000000" w:rsidDel="00000000" w:rsidP="00000000" w:rsidRDefault="00000000" w:rsidRPr="00000000" w14:paraId="0000025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viene, altresì, aggiornato il richiamo alle norme del d.lgs. n. 231/2007 già contemplate nell’art. 25 del D.L. n. 83/2012, tenuto conto che l’attuale formulazione di quest’ultimo fa ancora riferimento alla numerazione degli articoli precedente alle modifiche apportate al decreto antiriciclaggio dal d.lgs. n. 90/2017.</w:t>
      </w:r>
    </w:p>
    <w:p w:rsidR="00000000" w:rsidDel="00000000" w:rsidP="00000000" w:rsidRDefault="00000000" w:rsidRPr="00000000" w14:paraId="0000025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25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Comma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 . .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di cui al </w:t>
      </w:r>
      <w:r w:rsidDel="00000000" w:rsidR="00000000" w:rsidRPr="00000000">
        <w:rPr>
          <w:rFonts w:ascii="Times New Roman" w:cs="Times New Roman" w:eastAsia="Times New Roman" w:hAnsi="Times New Roman"/>
          <w:b w:val="1"/>
          <w:sz w:val="24"/>
          <w:szCs w:val="24"/>
          <w:rtl w:val="0"/>
        </w:rPr>
        <w:t xml:space="preserve">comma 2</w:t>
      </w:r>
      <w:r w:rsidDel="00000000" w:rsidR="00000000" w:rsidRPr="00000000">
        <w:rPr>
          <w:rFonts w:ascii="Times New Roman" w:cs="Times New Roman" w:eastAsia="Times New Roman" w:hAnsi="Times New Roman"/>
          <w:sz w:val="24"/>
          <w:szCs w:val="24"/>
          <w:rtl w:val="0"/>
        </w:rPr>
        <w:t xml:space="preserve"> non genera nuovi o maggiori oneri a carico della finanza pubblica, poiché è realizzabile attraverso le risorse umane e strumentali disponibili a legislazione vigente, in quanto l’accesso alle sezioni speciali del “Registro delle imprese” è già consentito alla Guardia di Finanza ai fini della vigilanza sul rispetto della disciplina antiriciclaggio.</w:t>
      </w:r>
    </w:p>
    <w:p w:rsidR="00000000" w:rsidDel="00000000" w:rsidP="00000000" w:rsidRDefault="00000000" w:rsidRPr="00000000" w14:paraId="0000026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 15</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Utilizzo dei files delle fatture elettroniche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1. All’articolo 1 del decreto legislativo 5 agosto 2015, n. 127, dopo il comma 5 è aggiunto il seguente: “5-bis. I file delle fatture elettroniche acquisiti ai sensi del comma 3 </w:t>
      </w:r>
      <w:r w:rsidDel="00000000" w:rsidR="00000000" w:rsidRPr="00000000">
        <w:rPr>
          <w:rFonts w:ascii="Times New Roman" w:cs="Times New Roman" w:eastAsia="Times New Roman" w:hAnsi="Times New Roman"/>
          <w:sz w:val="24"/>
          <w:szCs w:val="24"/>
          <w:rtl w:val="0"/>
        </w:rPr>
        <w:t xml:space="preserve">sono memorizzati fino al 31 dicembre dell'ottavo anno successivo a quello di presentazione della dichiarazione di riferimento ovvero fino alla definizione di eventuali giudizi al fine di essere</w:t>
      </w:r>
      <w:r w:rsidDel="00000000" w:rsidR="00000000" w:rsidRPr="00000000">
        <w:rPr>
          <w:rFonts w:ascii="Times New Roman" w:cs="Times New Roman" w:eastAsia="Times New Roman" w:hAnsi="Times New Roman"/>
          <w:color w:val="000000"/>
          <w:sz w:val="24"/>
          <w:szCs w:val="24"/>
          <w:rtl w:val="0"/>
        </w:rPr>
        <w:t xml:space="preserve"> utilizzati: </w:t>
      </w:r>
      <w:r w:rsidDel="00000000" w:rsidR="00000000" w:rsidRPr="00000000">
        <w:rPr>
          <w:rtl w:val="0"/>
        </w:rPr>
      </w:r>
    </w:p>
    <w:p w:rsidR="00000000" w:rsidDel="00000000" w:rsidP="00000000" w:rsidRDefault="00000000" w:rsidRPr="00000000" w14:paraId="00000266">
      <w:pPr>
        <w:spacing w:after="0" w:lineRule="auto"/>
        <w:ind w:firstLine="42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4"/>
          <w:szCs w:val="24"/>
          <w:rtl w:val="0"/>
        </w:rPr>
        <w:t xml:space="preserve">dalla Guardia di finanza nell’assolvimento delle </w:t>
      </w:r>
      <w:r w:rsidDel="00000000" w:rsidR="00000000" w:rsidRPr="00000000">
        <w:rPr>
          <w:rFonts w:ascii="Times New Roman" w:cs="Times New Roman" w:eastAsia="Times New Roman" w:hAnsi="Times New Roman"/>
          <w:b w:val="1"/>
          <w:color w:val="000000"/>
          <w:sz w:val="24"/>
          <w:szCs w:val="24"/>
          <w:rtl w:val="0"/>
        </w:rPr>
        <w:t xml:space="preserve">funzioni di polizia economica e finanziaria </w:t>
      </w:r>
      <w:r w:rsidDel="00000000" w:rsidR="00000000" w:rsidRPr="00000000">
        <w:rPr>
          <w:rFonts w:ascii="Times New Roman" w:cs="Times New Roman" w:eastAsia="Times New Roman" w:hAnsi="Times New Roman"/>
          <w:color w:val="000000"/>
          <w:sz w:val="24"/>
          <w:szCs w:val="24"/>
          <w:rtl w:val="0"/>
        </w:rPr>
        <w:t xml:space="preserve">di cui all’art. 2, comma 2, del decreto legislativo 19 marzo 2001, n. 68: </w:t>
      </w:r>
      <w:r w:rsidDel="00000000" w:rsidR="00000000" w:rsidRPr="00000000">
        <w:rPr>
          <w:rtl w:val="0"/>
        </w:rPr>
      </w:r>
    </w:p>
    <w:p w:rsidR="00000000" w:rsidDel="00000000" w:rsidP="00000000" w:rsidRDefault="00000000" w:rsidRPr="00000000" w14:paraId="00000267">
      <w:pPr>
        <w:spacing w:after="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b)</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4"/>
          <w:szCs w:val="24"/>
          <w:rtl w:val="0"/>
        </w:rPr>
        <w:t xml:space="preserve">dall’Agenzia delle entrate e dalla Guardia di Finanza </w:t>
      </w:r>
      <w:r w:rsidDel="00000000" w:rsidR="00000000" w:rsidRPr="00000000">
        <w:rPr>
          <w:rFonts w:ascii="Times New Roman" w:cs="Times New Roman" w:eastAsia="Times New Roman" w:hAnsi="Times New Roman"/>
          <w:sz w:val="24"/>
          <w:szCs w:val="24"/>
          <w:rtl w:val="0"/>
        </w:rPr>
        <w:t xml:space="preserve">per le attività analisi del rischio e controllo ai fini fiscali.”.</w:t>
      </w:r>
      <w:r w:rsidDel="00000000" w:rsidR="00000000" w:rsidRPr="00000000">
        <w:rPr>
          <w:rtl w:val="0"/>
        </w:rPr>
      </w:r>
    </w:p>
    <w:p w:rsidR="00000000" w:rsidDel="00000000" w:rsidP="00000000" w:rsidRDefault="00000000" w:rsidRPr="00000000" w14:paraId="0000026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6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illustrativa</w:t>
      </w:r>
    </w:p>
    <w:p w:rsidR="00000000" w:rsidDel="00000000" w:rsidP="00000000" w:rsidRDefault="00000000" w:rsidRPr="00000000" w14:paraId="0000026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6B">
      <w:pPr>
        <w:spacing w:after="0" w:lineRule="auto"/>
        <w:ind w:left="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4"/>
          <w:szCs w:val="24"/>
          <w:rtl w:val="0"/>
        </w:rPr>
        <w:t xml:space="preserve">La proposta normativa è volta a </w:t>
      </w:r>
      <w:r w:rsidDel="00000000" w:rsidR="00000000" w:rsidRPr="00000000">
        <w:rPr>
          <w:rFonts w:ascii="Times New Roman" w:cs="Times New Roman" w:eastAsia="Times New Roman" w:hAnsi="Times New Roman"/>
          <w:sz w:val="24"/>
          <w:szCs w:val="24"/>
          <w:rtl w:val="0"/>
        </w:rPr>
        <w:t xml:space="preserve">prevedere la memorizzazione e l’utilizzo dei file XML delle fatture elettroniche e tutti i dati in essi contenuti, compresi quelli di cui all’articolo 21 del d.P.R. 633 del 1972, comma 2, lettera g), per consentirne l’utilizzo sia ai fini fiscali che per finalità di indagini di polizia economico-finanziaria, in quanto tali attività rappresentano un compito di interesse pubblico e sono connesse all'esercizio delle missioni istituzionali della Guardia di Finanza, dell’Agenzia delle entrate, come previsto dall’articolo 6 del Regolamento (UE) 2016/679.</w:t>
      </w:r>
      <w:r w:rsidDel="00000000" w:rsidR="00000000" w:rsidRPr="00000000">
        <w:rPr>
          <w:rtl w:val="0"/>
        </w:rPr>
      </w:r>
    </w:p>
    <w:p w:rsidR="00000000" w:rsidDel="00000000" w:rsidP="00000000" w:rsidRDefault="00000000" w:rsidRPr="00000000" w14:paraId="0000026C">
      <w:pPr>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Attualmente, infatti, l’Agenzia delle entrate e la Guardia di Finanza possono utilizzare i predetti </w:t>
      </w:r>
      <w:r w:rsidDel="00000000" w:rsidR="00000000" w:rsidRPr="00000000">
        <w:rPr>
          <w:rFonts w:ascii="Times New Roman" w:cs="Times New Roman" w:eastAsia="Times New Roman" w:hAnsi="Times New Roman"/>
          <w:i w:val="1"/>
          <w:color w:val="000000"/>
          <w:sz w:val="24"/>
          <w:szCs w:val="24"/>
          <w:rtl w:val="0"/>
        </w:rPr>
        <w:t xml:space="preserve">file</w:t>
      </w:r>
      <w:r w:rsidDel="00000000" w:rsidR="00000000" w:rsidRPr="00000000">
        <w:rPr>
          <w:rFonts w:ascii="Times New Roman" w:cs="Times New Roman" w:eastAsia="Times New Roman" w:hAnsi="Times New Roman"/>
          <w:color w:val="000000"/>
          <w:sz w:val="24"/>
          <w:szCs w:val="24"/>
          <w:rtl w:val="0"/>
        </w:rPr>
        <w:t xml:space="preserve"> XML esclusivamente per le attività di controllo di cui agli artt. 51 del D.P.R. n. 633/1972 e 32 del D.P.R. n. 600/1973, con le modalità di cui al decreto ministeriale previsto dall’art. 1, comma 5, del D.Lgs. n. 127/2015.</w:t>
      </w:r>
      <w:r w:rsidDel="00000000" w:rsidR="00000000" w:rsidRPr="00000000">
        <w:rPr>
          <w:rtl w:val="0"/>
        </w:rPr>
      </w:r>
    </w:p>
    <w:p w:rsidR="00000000" w:rsidDel="00000000" w:rsidP="00000000" w:rsidRDefault="00000000" w:rsidRPr="00000000" w14:paraId="0000026D">
      <w:pPr>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La modifica prospettata offrirebbe la possibilità di utilizzare tale importante patrimonio informativo per tutte le funzioni istituzionali di polizia economico-finanziaria demandate al Corpo dal D.Lgs. n. 68/2001, potenziando l’attività di contrasto di qualunque forma di illegalità, anche in settori diversi da quello strettamente tributario, quali ad esempio la spesa pubblica, il mercato dei capitali e la tutela della proprietà intellettuale. </w:t>
      </w:r>
      <w:r w:rsidDel="00000000" w:rsidR="00000000" w:rsidRPr="00000000">
        <w:rPr>
          <w:rtl w:val="0"/>
        </w:rPr>
      </w:r>
    </w:p>
    <w:p w:rsidR="00000000" w:rsidDel="00000000" w:rsidP="00000000" w:rsidRDefault="00000000" w:rsidRPr="00000000" w14:paraId="0000026E">
      <w:pPr>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Inoltre, per una più generale finalità di analisi del rischio di evasione fiscale, prodromica a meglio orientare l’attività ispettiva di natura amministrativa dell’Amministrazione finanziaria, la medesima possibilità di accesso </w:t>
      </w:r>
      <w:r w:rsidDel="00000000" w:rsidR="00000000" w:rsidRPr="00000000">
        <w:rPr>
          <w:rFonts w:ascii="Times New Roman" w:cs="Times New Roman" w:eastAsia="Times New Roman" w:hAnsi="Times New Roman"/>
          <w:sz w:val="24"/>
          <w:szCs w:val="24"/>
          <w:rtl w:val="0"/>
        </w:rPr>
        <w:t xml:space="preserve">all'intero set di dati presenti nelle fatture elettroniche </w:t>
      </w:r>
      <w:r w:rsidDel="00000000" w:rsidR="00000000" w:rsidRPr="00000000">
        <w:rPr>
          <w:rFonts w:ascii="Times New Roman" w:cs="Times New Roman" w:eastAsia="Times New Roman" w:hAnsi="Times New Roman"/>
          <w:color w:val="000000"/>
          <w:sz w:val="24"/>
          <w:szCs w:val="24"/>
          <w:rtl w:val="0"/>
        </w:rPr>
        <w:t xml:space="preserve">viene consentita anche all’Agenzia delle Entrate, oltreché alla Guardia di Finanza.</w:t>
      </w:r>
      <w:r w:rsidDel="00000000" w:rsidR="00000000" w:rsidRPr="00000000">
        <w:rPr>
          <w:rtl w:val="0"/>
        </w:rPr>
      </w:r>
    </w:p>
    <w:p w:rsidR="00000000" w:rsidDel="00000000" w:rsidP="00000000" w:rsidRDefault="00000000" w:rsidRPr="00000000" w14:paraId="0000026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7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4"/>
          <w:szCs w:val="24"/>
          <w:rtl w:val="0"/>
        </w:rPr>
        <w:t xml:space="preserve">Relazione tecnica</w:t>
      </w:r>
      <w:r w:rsidDel="00000000" w:rsidR="00000000" w:rsidRPr="00000000">
        <w:rPr>
          <w:rtl w:val="0"/>
        </w:rPr>
      </w:r>
    </w:p>
    <w:p w:rsidR="00000000" w:rsidDel="00000000" w:rsidP="00000000" w:rsidRDefault="00000000" w:rsidRPr="00000000" w14:paraId="0000027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2">
      <w:pPr>
        <w:spacing w:after="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La disposizione non genera nuovi o maggiori oneri a carico della finanza pubblica, poiché è realizzabile attraverso le risorse umane e strumentali disponibili a legislazione vigente, in quanto i dati in argomento sono già presenti all’interno dell’infrastruttura telematica denominata “Sistema di Interscambio”, appositamente istituita dall’Agenzia delle entrate per la trasmissione e la conservazione delle fatture elettroniche, costantemente alimentata dai soggetti passivi sottoposti all’obbligo di fatturazione elettronica. Tale dati, come stabilito nel decreto ministeriale 4 agosto 2016, emanato in attuazione del D.lgs. n. 127/2015, sono messi a disposizione anche della Guardia di finanza. </w:t>
      </w:r>
      <w:r w:rsidDel="00000000" w:rsidR="00000000" w:rsidRPr="00000000">
        <w:rPr>
          <w:rtl w:val="0"/>
        </w:rPr>
      </w:r>
    </w:p>
    <w:p w:rsidR="00000000" w:rsidDel="00000000" w:rsidP="00000000" w:rsidRDefault="00000000" w:rsidRPr="00000000" w14:paraId="00000273">
      <w:pPr>
        <w:tabs>
          <w:tab w:val="left" w:pos="3012"/>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tabs>
          <w:tab w:val="left" w:pos="3012"/>
        </w:tabs>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16</w:t>
      </w:r>
    </w:p>
    <w:p w:rsidR="00000000" w:rsidDel="00000000" w:rsidP="00000000" w:rsidRDefault="00000000" w:rsidRPr="00000000" w14:paraId="0000027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Fatturazione elettronica e sistema tessera sanitaria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7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widowControl w:val="0"/>
        <w:spacing w:after="0" w:lineRule="auto"/>
        <w:jc w:val="both"/>
        <w:rPr>
          <w:rFonts w:ascii="Times New Roman" w:cs="Times New Roman" w:eastAsia="Times New Roman" w:hAnsi="Times New Roman"/>
          <w:color w:val="0b0b0b"/>
          <w:sz w:val="24"/>
          <w:szCs w:val="24"/>
        </w:rPr>
      </w:pPr>
      <w:r w:rsidDel="00000000" w:rsidR="00000000" w:rsidRPr="00000000">
        <w:rPr>
          <w:rFonts w:ascii="Times New Roman" w:cs="Times New Roman" w:eastAsia="Times New Roman" w:hAnsi="Times New Roman"/>
          <w:color w:val="0b0b0b"/>
          <w:sz w:val="24"/>
          <w:szCs w:val="24"/>
          <w:rtl w:val="0"/>
        </w:rPr>
        <w:t xml:space="preserve">1. All’articolo 10-bis del decreto-legge 23 ottobre 2018, n. 119 convertito, con modificazioni, dalla legge 17 dicembre 2018, n. 136, le parole “per il periodo d’imposta 2019” sono sostituite dalle seguenti “per i periodi d’imposta 2019 e 2020”.</w:t>
      </w:r>
    </w:p>
    <w:p w:rsidR="00000000" w:rsidDel="00000000" w:rsidP="00000000" w:rsidRDefault="00000000" w:rsidRPr="00000000" w14:paraId="0000027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b0b0b"/>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Al comma 6-quater dell’articolo 2 del decreto legislativo 5 agosto 2015, n. 127, dopo il primo periodo, è aggiunto il seguente: “A decorrere dal 1° luglio 2020 i soggetti di cui al periodo precedente adempiono all’obbligo di cui al comma 1 esclusivamente mediante la memorizzazione elettronica e la trasmissione telematica dei dati relativi a tutti i corrispettivi giornalieri al Sistema tessera sanitaria, attraverso gli strumenti di cui al comma 3.”.</w:t>
      </w:r>
    </w:p>
    <w:p w:rsidR="00000000" w:rsidDel="00000000" w:rsidP="00000000" w:rsidRDefault="00000000" w:rsidRPr="00000000" w14:paraId="0000027A">
      <w:pPr>
        <w:widowControl w:val="0"/>
        <w:spacing w:after="0" w:lineRule="auto"/>
        <w:jc w:val="both"/>
        <w:rPr>
          <w:rFonts w:ascii="Times New Roman" w:cs="Times New Roman" w:eastAsia="Times New Roman" w:hAnsi="Times New Roman"/>
          <w:color w:val="0b0b0b"/>
          <w:sz w:val="24"/>
          <w:szCs w:val="24"/>
        </w:rPr>
      </w:pPr>
      <w:r w:rsidDel="00000000" w:rsidR="00000000" w:rsidRPr="00000000">
        <w:rPr>
          <w:rtl w:val="0"/>
        </w:rPr>
      </w:r>
    </w:p>
    <w:p w:rsidR="00000000" w:rsidDel="00000000" w:rsidP="00000000" w:rsidRDefault="00000000" w:rsidRPr="00000000" w14:paraId="0000027B">
      <w:pPr>
        <w:spacing w:after="0" w:lineRule="auto"/>
        <w:jc w:val="center"/>
        <w:rPr>
          <w:rFonts w:ascii="Times New Roman" w:cs="Times New Roman" w:eastAsia="Times New Roman" w:hAnsi="Times New Roman"/>
          <w:b w:val="1"/>
          <w:color w:val="0b0b0b"/>
          <w:sz w:val="24"/>
          <w:szCs w:val="24"/>
        </w:rPr>
      </w:pPr>
      <w:r w:rsidDel="00000000" w:rsidR="00000000" w:rsidRPr="00000000">
        <w:rPr>
          <w:rFonts w:ascii="Times New Roman" w:cs="Times New Roman" w:eastAsia="Times New Roman" w:hAnsi="Times New Roman"/>
          <w:b w:val="1"/>
          <w:color w:val="0b0b0b"/>
          <w:sz w:val="24"/>
          <w:szCs w:val="24"/>
          <w:rtl w:val="0"/>
        </w:rPr>
        <w:t xml:space="preserve">Relazione illustrativa</w:t>
      </w:r>
    </w:p>
    <w:p w:rsidR="00000000" w:rsidDel="00000000" w:rsidP="00000000" w:rsidRDefault="00000000" w:rsidRPr="00000000" w14:paraId="0000027C">
      <w:pPr>
        <w:spacing w:after="0" w:lineRule="auto"/>
        <w:jc w:val="both"/>
        <w:rPr>
          <w:rFonts w:ascii="Times New Roman" w:cs="Times New Roman" w:eastAsia="Times New Roman" w:hAnsi="Times New Roman"/>
          <w:color w:val="0b0b0b"/>
          <w:sz w:val="24"/>
          <w:szCs w:val="24"/>
        </w:rPr>
      </w:pPr>
      <w:r w:rsidDel="00000000" w:rsidR="00000000" w:rsidRPr="00000000">
        <w:rPr>
          <w:rtl w:val="0"/>
        </w:rPr>
      </w:r>
    </w:p>
    <w:p w:rsidR="00000000" w:rsidDel="00000000" w:rsidP="00000000" w:rsidRDefault="00000000" w:rsidRPr="00000000" w14:paraId="0000027D">
      <w:pPr>
        <w:spacing w:after="0" w:lineRule="auto"/>
        <w:jc w:val="both"/>
        <w:rPr>
          <w:rFonts w:ascii="Times New Roman" w:cs="Times New Roman" w:eastAsia="Times New Roman" w:hAnsi="Times New Roman"/>
          <w:color w:val="0b0b0b"/>
          <w:sz w:val="24"/>
          <w:szCs w:val="24"/>
        </w:rPr>
      </w:pPr>
      <w:r w:rsidDel="00000000" w:rsidR="00000000" w:rsidRPr="00000000">
        <w:rPr>
          <w:rFonts w:ascii="Times New Roman" w:cs="Times New Roman" w:eastAsia="Times New Roman" w:hAnsi="Times New Roman"/>
          <w:color w:val="0b0b0b"/>
          <w:sz w:val="24"/>
          <w:szCs w:val="24"/>
          <w:rtl w:val="0"/>
        </w:rPr>
        <w:t xml:space="preserve">Nelle more dell’individuazione di specifiche modalità di fatturazione elettronica per i soggetti che effettuano prestazioni sanitarie nei confronti di persone fisiche, la disposizione di cui al </w:t>
      </w:r>
      <w:r w:rsidDel="00000000" w:rsidR="00000000" w:rsidRPr="00000000">
        <w:rPr>
          <w:rFonts w:ascii="Times New Roman" w:cs="Times New Roman" w:eastAsia="Times New Roman" w:hAnsi="Times New Roman"/>
          <w:b w:val="1"/>
          <w:color w:val="0b0b0b"/>
          <w:sz w:val="24"/>
          <w:szCs w:val="24"/>
          <w:rtl w:val="0"/>
        </w:rPr>
        <w:t xml:space="preserve">comma 1</w:t>
      </w:r>
      <w:r w:rsidDel="00000000" w:rsidR="00000000" w:rsidRPr="00000000">
        <w:rPr>
          <w:rFonts w:ascii="Times New Roman" w:cs="Times New Roman" w:eastAsia="Times New Roman" w:hAnsi="Times New Roman"/>
          <w:color w:val="0b0b0b"/>
          <w:sz w:val="24"/>
          <w:szCs w:val="24"/>
          <w:rtl w:val="0"/>
        </w:rPr>
        <w:t xml:space="preserve"> estende all’anno 2020 la disciplina transitoria prevista per i soggetti che inviano i dati al Sistema Tessera Sanitaria ai fini dell’elaborazione della dichiarazione precompilata. Per effetto delle disposizioni contenute nell’articolo 9-bis del decreto-legge 14 dicembre 2018, n. 135, che prevede l’applicazione delle disposizioni di cui all’articolo 10-bis del decreto-legge 23 ottobre 2018, n. 119 anche ai soggetti non tenuti all’invio dei dati al Sistema Tessera Sanitaria, viene sancito anche per l’anno 2020 il divieto di emissione di fatture elettroniche tramite il Sistema di Intercambio in relazione a prestazioni sanitarie effettuate nei confronti delle persone fisiche.</w:t>
      </w:r>
    </w:p>
    <w:p w:rsidR="00000000" w:rsidDel="00000000" w:rsidP="00000000" w:rsidRDefault="00000000" w:rsidRPr="00000000" w14:paraId="0000027E">
      <w:pPr>
        <w:spacing w:after="0" w:lineRule="auto"/>
        <w:jc w:val="both"/>
        <w:rPr>
          <w:rFonts w:ascii="Times New Roman" w:cs="Times New Roman" w:eastAsia="Times New Roman" w:hAnsi="Times New Roman"/>
          <w:color w:val="0b0b0b"/>
          <w:sz w:val="24"/>
          <w:szCs w:val="24"/>
        </w:rPr>
      </w:pPr>
      <w:r w:rsidDel="00000000" w:rsidR="00000000" w:rsidRPr="00000000">
        <w:rPr>
          <w:rFonts w:ascii="Times New Roman" w:cs="Times New Roman" w:eastAsia="Times New Roman" w:hAnsi="Times New Roman"/>
          <w:color w:val="0b0b0b"/>
          <w:sz w:val="24"/>
          <w:szCs w:val="24"/>
          <w:rtl w:val="0"/>
        </w:rPr>
        <w:t xml:space="preserve">Il sistema TS metterà a disposizione dell’Agenzia delle entrate i dati fiscali (ad esclusione della descrizione e del CF del cliente) delle fatture ricevute dagli operatori sanitari.</w:t>
      </w:r>
    </w:p>
    <w:p w:rsidR="00000000" w:rsidDel="00000000" w:rsidP="00000000" w:rsidRDefault="00000000" w:rsidRPr="00000000" w14:paraId="0000027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di cui al </w:t>
      </w:r>
      <w:r w:rsidDel="00000000" w:rsidR="00000000" w:rsidRPr="00000000">
        <w:rPr>
          <w:rFonts w:ascii="Times New Roman" w:cs="Times New Roman" w:eastAsia="Times New Roman" w:hAnsi="Times New Roman"/>
          <w:b w:val="1"/>
          <w:sz w:val="24"/>
          <w:szCs w:val="24"/>
          <w:rtl w:val="0"/>
        </w:rPr>
        <w:t xml:space="preserve">comma 2</w:t>
      </w:r>
      <w:r w:rsidDel="00000000" w:rsidR="00000000" w:rsidRPr="00000000">
        <w:rPr>
          <w:rFonts w:ascii="Times New Roman" w:cs="Times New Roman" w:eastAsia="Times New Roman" w:hAnsi="Times New Roman"/>
          <w:sz w:val="24"/>
          <w:szCs w:val="24"/>
          <w:rtl w:val="0"/>
        </w:rPr>
        <w:t xml:space="preserve"> è finalizzata a:</w:t>
      </w:r>
    </w:p>
    <w:p w:rsidR="00000000" w:rsidDel="00000000" w:rsidP="00000000" w:rsidRDefault="00000000" w:rsidRPr="00000000" w14:paraId="00000280">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razionalizzare, sia in capo all’esercente che effettua prestazioni sanitarie (es. farmacia) sia in capo all’Amministrazione finanziaria (Agenzia delle Entrate e Ragioneria Generale dello Stato), rispettivamente l’invio e l’acquisizione dei flussi informativi relativi ai dati necessari per la dichiarazione precompilata (articolo 3 del decreto legislativo n. 175 del 2014), ai dati dei corrispettivi giornalieri (articolo 2 del decreto legislativo n. 127 del 2015), nonché ai dati necessari per la partecipazione della lotteria dei corrispettivi (articolo 1, commi 540 e seguenti, della legge n. 232 del 2016);</w:t>
      </w:r>
    </w:p>
    <w:p w:rsidR="00000000" w:rsidDel="00000000" w:rsidP="00000000" w:rsidRDefault="00000000" w:rsidRPr="00000000" w14:paraId="00000281">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aumentare la sicurezza e l’inalterabilità dei dati sopra richiamati;</w:t>
      </w:r>
    </w:p>
    <w:p w:rsidR="00000000" w:rsidDel="00000000" w:rsidP="00000000" w:rsidRDefault="00000000" w:rsidRPr="00000000" w14:paraId="00000282">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rispondere meglio alle garanzie di tutela dei dati personali e sensibili derivanti dalle operazioni effettuate presso gli esercizi che effettuano prestazioni sanitarie.</w:t>
      </w:r>
    </w:p>
    <w:p w:rsidR="00000000" w:rsidDel="00000000" w:rsidP="00000000" w:rsidRDefault="00000000" w:rsidRPr="00000000" w14:paraId="0000028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previsione normativa, peraltro, semplifica l’operatività di tale platea di esercenti, in quanto gli stessi invierebbero tutti i dati di cui al punto a) mediante un’unica operazione effettuata con il registratore telematico. </w:t>
      </w:r>
    </w:p>
    <w:p w:rsidR="00000000" w:rsidDel="00000000" w:rsidP="00000000" w:rsidRDefault="00000000" w:rsidRPr="00000000" w14:paraId="00000284">
      <w:pPr>
        <w:spacing w:after="0" w:lineRule="auto"/>
        <w:jc w:val="both"/>
        <w:rPr>
          <w:rFonts w:ascii="Times New Roman" w:cs="Times New Roman" w:eastAsia="Times New Roman" w:hAnsi="Times New Roman"/>
          <w:color w:val="0b0b0b"/>
          <w:sz w:val="24"/>
          <w:szCs w:val="24"/>
        </w:rPr>
      </w:pPr>
      <w:r w:rsidDel="00000000" w:rsidR="00000000" w:rsidRPr="00000000">
        <w:rPr>
          <w:rtl w:val="0"/>
        </w:rPr>
      </w:r>
    </w:p>
    <w:p w:rsidR="00000000" w:rsidDel="00000000" w:rsidP="00000000" w:rsidRDefault="00000000" w:rsidRPr="00000000" w14:paraId="00000285">
      <w:pPr>
        <w:spacing w:after="0" w:lineRule="auto"/>
        <w:jc w:val="center"/>
        <w:rPr>
          <w:rFonts w:ascii="Times New Roman" w:cs="Times New Roman" w:eastAsia="Times New Roman" w:hAnsi="Times New Roman"/>
          <w:b w:val="1"/>
          <w:color w:val="0b0b0b"/>
          <w:sz w:val="24"/>
          <w:szCs w:val="24"/>
        </w:rPr>
      </w:pPr>
      <w:r w:rsidDel="00000000" w:rsidR="00000000" w:rsidRPr="00000000">
        <w:rPr>
          <w:rFonts w:ascii="Times New Roman" w:cs="Times New Roman" w:eastAsia="Times New Roman" w:hAnsi="Times New Roman"/>
          <w:b w:val="1"/>
          <w:color w:val="0b0b0b"/>
          <w:sz w:val="24"/>
          <w:szCs w:val="24"/>
          <w:rtl w:val="0"/>
        </w:rPr>
        <w:t xml:space="preserve">Relazione tecnica</w:t>
      </w:r>
    </w:p>
    <w:p w:rsidR="00000000" w:rsidDel="00000000" w:rsidP="00000000" w:rsidRDefault="00000000" w:rsidRPr="00000000" w14:paraId="0000028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b0b0b"/>
          <w:sz w:val="24"/>
          <w:szCs w:val="24"/>
          <w:rtl w:val="0"/>
        </w:rPr>
        <w:t xml:space="preserve">La disposizione non comporta maggiori oneri per il bilancio dello Stato.</w:t>
      </w:r>
      <w:r w:rsidDel="00000000" w:rsidR="00000000" w:rsidRPr="00000000">
        <w:rPr>
          <w:rtl w:val="0"/>
        </w:rPr>
      </w:r>
    </w:p>
    <w:p w:rsidR="00000000" w:rsidDel="00000000" w:rsidP="00000000" w:rsidRDefault="00000000" w:rsidRPr="00000000" w14:paraId="0000028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17</w:t>
      </w:r>
    </w:p>
    <w:p w:rsidR="00000000" w:rsidDel="00000000" w:rsidP="00000000" w:rsidRDefault="00000000" w:rsidRPr="00000000" w14:paraId="0000028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Precompilata IVA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8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4 del decreto legislativo 5 agosto 2015, n. 127, il comma 1 è sostituito dai seguenti: “1. A partire dalle operazioni IVA effettuate dal 1° luglio 2020, in via sperimentale, nell’ambito di un programma di assistenza on line basato sui dati delle operazioni acquisiti con le fatture elettroniche e con le comunicazioni delle operazioni transfrontaliere nonché sui dati dei corrispettivi acquisiti telematicamente, l'Agenzia delle entrate mette a disposizione dei soggetti passivi dell'IVA residenti e stabiliti in Italia, in apposita area riservata del sito internet dell'Agenzia stessa, le bozze dei seguenti documenti: </w:t>
      </w:r>
    </w:p>
    <w:p w:rsidR="00000000" w:rsidDel="00000000" w:rsidP="00000000" w:rsidRDefault="00000000" w:rsidRPr="00000000" w14:paraId="0000028D">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registri di cui agli articoli 23 e 25 del decreto del Presidente della Repubblica 26 ottobre 1972, n. 633; </w:t>
      </w:r>
    </w:p>
    <w:p w:rsidR="00000000" w:rsidDel="00000000" w:rsidP="00000000" w:rsidRDefault="00000000" w:rsidRPr="00000000" w14:paraId="0000028E">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comunicazioni delle liquidazioni periodiche dell’IVA.</w:t>
      </w:r>
    </w:p>
    <w:p w:rsidR="00000000" w:rsidDel="00000000" w:rsidP="00000000" w:rsidRDefault="00000000" w:rsidRPr="00000000" w14:paraId="0000028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1-bis. A partire dalle operazioni IVA 2021, oltre alle bozze dei documenti di cui al comma 1, lettere a) e b), l’Agenzia delle entrate mette a disposizione anche la bozza della dichiarazione annuale dell’IVA.”.</w:t>
      </w:r>
    </w:p>
    <w:p w:rsidR="00000000" w:rsidDel="00000000" w:rsidP="00000000" w:rsidRDefault="00000000" w:rsidRPr="00000000" w14:paraId="0000029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29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L’attuazione delle disposizioni contenute nell’articolo 4 del decreto legislativo 5 agosto 2015, n. 127, che rientrano nel percorso di semplificazione e riduzione degli adempimenti amministrativi e contabili a carico dei contribuenti, si fonda essenzialmente sulla disponibilità delle informazioni acquisite dall’Agenzia delle entrate mediante le fatture elettroniche, le comunicazioni delle operazioni transfrontaliere e la trasmissione telematica dei dati dei corrispettivi. </w:t>
      </w:r>
    </w:p>
    <w:p w:rsidR="00000000" w:rsidDel="00000000" w:rsidP="00000000" w:rsidRDefault="00000000" w:rsidRPr="00000000" w14:paraId="0000029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Ciò premesso, coerentemente con gli ultimi interventi normativi, i quali hanno previsto un avvio graduale dell’obbligo di emissione delle fatture elettroniche e di trasmissione telematica dei dati dei corrispettivi, la proposta in esame, nel modificare l’articolo 4 del citato decreto legislativo n. 127 del 2015, mira a definire un percorso graduale e sperimentale di semplificazione, spostando al secondo semestre del 2020 l’avvio del processo che prevede la predisposizione delle bozze dei registri IVA e delle comunicazioni delle liquidazioni periodiche IVA da parte dell’Agenzia. Considerato che la bozza della dichiarazione annuale IVA relativa al 2020 risulterebbe incompleta, nel comma 1-bis viene precisato che tale documento verrà elaborato dall’Agenzia a partire dai dati del 2021. </w:t>
      </w:r>
    </w:p>
    <w:p w:rsidR="00000000" w:rsidDel="00000000" w:rsidP="00000000" w:rsidRDefault="00000000" w:rsidRPr="00000000" w14:paraId="0000029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Infine, al comma 1, lettera b), viene specificato che l’Agenzia predispone, oltre alle bozze dei registri IVA, anche quelle relative alle “comunicazioni delle liquidazioni periodiche IVA”, in quanto l’attuale dicitura – ossia “liquidazione periodica dell’IVA” – potrebbe lasciare adito a dubbi interpretativi.</w:t>
      </w:r>
    </w:p>
    <w:p w:rsidR="00000000" w:rsidDel="00000000" w:rsidP="00000000" w:rsidRDefault="00000000" w:rsidRPr="00000000" w14:paraId="0000029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29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non comporta maggiori oneri per il bilancio dello Stato</w:t>
      </w:r>
    </w:p>
    <w:p w:rsidR="00000000" w:rsidDel="00000000" w:rsidP="00000000" w:rsidRDefault="00000000" w:rsidRPr="00000000" w14:paraId="0000029A">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18</w:t>
      </w:r>
    </w:p>
    <w:p w:rsidR="00000000" w:rsidDel="00000000" w:rsidP="00000000" w:rsidRDefault="00000000" w:rsidRPr="00000000" w14:paraId="0000029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Imposta di bollo sulle fatture elettroniche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9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12-novies del decreto-legge 30 aprile 2019, n. 34, convertito, con modificazioni, dalla legge 28 giugno 2019, n. 58, sono apportate le seguenti modificazioni:</w:t>
      </w:r>
    </w:p>
    <w:p w:rsidR="00000000" w:rsidDel="00000000" w:rsidP="00000000" w:rsidRDefault="00000000" w:rsidRPr="00000000" w14:paraId="000002A0">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il terzo periodo è sostituito dal seguente: “In caso di ritardato, omesso o insufficiente versamento, l’Agenzia delle entrate comunica al contribuente con modalità telematiche l’ammontare dell’imposta, della sanzione amministrativa dovuta ai sensi dell’articolo 13, comma 1, del decreto legislativo 18 dicembre 1997, n. 471, ridotta ad un terzo, nonché degli interessi dovuti fino all'ultimo giorno del mese antecedente a quello dell'elaborazione della comunicazione; se il contribuente non provvede al pagamento, in tutto o in parte, delle somme dovute entro trenta giorni dal ricevimento della comunicazione, il competente ufficio dell’Agenzia delle entrate procede all’iscrizione a ruolo a titolo definitivo. ”; </w:t>
      </w:r>
    </w:p>
    <w:p w:rsidR="00000000" w:rsidDel="00000000" w:rsidP="00000000" w:rsidRDefault="00000000" w:rsidRPr="00000000" w14:paraId="000002A1">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nel quarto periodo: le parole “di cui al primo periodo” sono sostituite dalle seguenti “di cui al presente articolo” e   le parole “salvo quanto previsto dal terzo periodo” sono soppresse.            </w:t>
      </w:r>
    </w:p>
    <w:p w:rsidR="00000000" w:rsidDel="00000000" w:rsidP="00000000" w:rsidRDefault="00000000" w:rsidRPr="00000000" w14:paraId="000002A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2A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stabilisce che in caso di omesso, insufficiente o tardivo versamento dell’imposta di bollo dovuta sulle fatture elettroniche inviate tramite il Sistema di interscambio, l’amministrazione finanziaria comunica con modalità telematiche al contribuente l’ammontare dell’imposta da versare nonché delle sanzioni per tardivo versamento e degli interessi. </w:t>
      </w:r>
    </w:p>
    <w:p w:rsidR="00000000" w:rsidDel="00000000" w:rsidP="00000000" w:rsidRDefault="00000000" w:rsidRPr="00000000" w14:paraId="000002A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Qualora il contribuente non provveda al versamento, in tutto in parte, delle somme comunicate nel termine di 30 giorni dalla ricezione della comunicazione, l’ufficio dell’Agenzia delle entrate provvede all’iscrizione a ruolo degli importi non versati.</w:t>
      </w:r>
    </w:p>
    <w:p w:rsidR="00000000" w:rsidDel="00000000" w:rsidP="00000000" w:rsidRDefault="00000000" w:rsidRPr="00000000" w14:paraId="000002A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19</w:t>
      </w:r>
    </w:p>
    <w:p w:rsidR="00000000" w:rsidDel="00000000" w:rsidP="00000000" w:rsidRDefault="00000000" w:rsidRPr="00000000" w14:paraId="000002A8">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Modifiche al regime dell’utilizzo del contante.)</w:t>
      </w:r>
    </w:p>
    <w:p w:rsidR="00000000" w:rsidDel="00000000" w:rsidP="00000000" w:rsidRDefault="00000000" w:rsidRPr="00000000" w14:paraId="000002A9">
      <w:pPr>
        <w:jc w:val="both"/>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2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All’articolo 49, commi 1 e 3, del decreto legislativo 21 novembre 2007 n. 231, le parole “3.000 euro” sono sostituite dalle seguenti “1.000 euro”.</w:t>
      </w:r>
    </w:p>
    <w:p w:rsidR="00000000" w:rsidDel="00000000" w:rsidP="00000000" w:rsidRDefault="00000000" w:rsidRPr="00000000" w14:paraId="000002A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20</w:t>
      </w:r>
    </w:p>
    <w:p w:rsidR="00000000" w:rsidDel="00000000" w:rsidP="00000000" w:rsidRDefault="00000000" w:rsidRPr="00000000" w14:paraId="000002A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Esenzione fiscale dei premi della lotteria nazionale degli scontrini ed istituzione di premi speciali per il cashless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A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1 della legge 11 dicembre 2016, n. 232, sono apportate le seguenti modificazioni: </w:t>
      </w:r>
    </w:p>
    <w:p w:rsidR="00000000" w:rsidDel="00000000" w:rsidP="00000000" w:rsidRDefault="00000000" w:rsidRPr="00000000" w14:paraId="000002A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al comma 540, è aggiunto in fine il seguente periodo: “I premi attribuiti non concorrono a formare il reddito del percipiente per l’intero ammontare corrisposto nel periodo d’imposta e non sono assoggettati a alcun prelievo erariale.”;</w:t>
      </w:r>
    </w:p>
    <w:p w:rsidR="00000000" w:rsidDel="00000000" w:rsidP="00000000" w:rsidRDefault="00000000" w:rsidRPr="00000000" w14:paraId="000002B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il comma 542 è sostituito dal seguente: “542. Al fine di incentivare l'utilizzo di strumenti di pagamento elettronici da parte dei consumatori, con provvedimento del Direttore dell’Agenzia delle dogane e dei monopoli, d’intesa con il Direttore dell’Agenzia delle entrate, sono istituiti premi speciali, per un ammontare complessivo annuo non superiore a 70 milioni di euro, da attribuire mediante estrazioni aggiuntive a quelle ordinarie di cui al comma 540, esclusivamente ai soggetti di cui al predetto comma che effettuano transazioni attraverso strumenti che consentano il pagamento elettronico. Con il medesimo provvedimento, sono altresì stabilite le modalità attuative del presente comma, prevedendo premi, nell’ambito del predetto ammontare complessivo, anche per gli esercenti che hanno certificato le operazioni di cessione di beni ovvero prestazione di servizi ai sensi dell’articolo 2, comma 1, del decreto legislativo 5 agosto 2015, n. 127. Al fine di garantire le risorse finanziarie necessarie per l'attribuzione dei premi e le spese amministrative e di comunicazione connesse alla gestione della lotteria, il Fondo iscritto nello stato di previsione del Ministero dell'economia e delle finanze ai sensi dell’articolo 18 del decreto legge 23 ottobre 2018, n. 119 convertito con modificazioni dalla legge 17 dicembre 2018, n. 136 è incrementato di euro 75 milioni a decorrere dall'anno 2020.”.</w:t>
      </w:r>
    </w:p>
    <w:p w:rsidR="00000000" w:rsidDel="00000000" w:rsidP="00000000" w:rsidRDefault="00000000" w:rsidRPr="00000000" w14:paraId="000002B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2B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 1, comma 540, della legge n. 232 del 2016 prevede che, al fine di incentivare la richiesta di rilascio di documenti di certificazione fiscale, a decorrere dal 1° gennaio 2020 i contribuenti, persone fisiche maggiorenni residenti nel territorio dello Stato, che effettuano acquisti di beni o servizi, fuori dall'esercizio di attività di impresa, arte o professione, presso esercenti che trasmettono telematicamente i corrispettivi, possono partecipare ad una lotteria mediante l'estrazione a sorte di premi. Per partecipare all'estrazione è necessario che i contribuenti, al momento dell'acquisto, comunichino il proprio codice fiscale all'esercente e che quest'ultimo trasmetta all'Agenzia delle entrate i dati della singola cessione o prestazione. Il comma 542 prevede che, al fine di incentivare l'utilizzo di strumenti di pagamento elettronici da parte dei consumatori, la probabilità di vincita dei premi della lotteria sia aumentata del doppio, rispetto alle transazioni effettuate mediante denaro contante</w:t>
      </w:r>
    </w:p>
    <w:p w:rsidR="00000000" w:rsidDel="00000000" w:rsidP="00000000" w:rsidRDefault="00000000" w:rsidRPr="00000000" w14:paraId="000002B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la disposizione di cui alla </w:t>
      </w:r>
      <w:r w:rsidDel="00000000" w:rsidR="00000000" w:rsidRPr="00000000">
        <w:rPr>
          <w:rFonts w:ascii="Times New Roman" w:cs="Times New Roman" w:eastAsia="Times New Roman" w:hAnsi="Times New Roman"/>
          <w:b w:val="1"/>
          <w:sz w:val="24"/>
          <w:szCs w:val="24"/>
          <w:rtl w:val="0"/>
        </w:rPr>
        <w:t xml:space="preserve">lettera a) del comma 1</w:t>
      </w:r>
      <w:r w:rsidDel="00000000" w:rsidR="00000000" w:rsidRPr="00000000">
        <w:rPr>
          <w:rFonts w:ascii="Times New Roman" w:cs="Times New Roman" w:eastAsia="Times New Roman" w:hAnsi="Times New Roman"/>
          <w:sz w:val="24"/>
          <w:szCs w:val="24"/>
          <w:rtl w:val="0"/>
        </w:rPr>
        <w:t xml:space="preserve">, modificando l’art. 1 comma 540, della legge 11 dicembre 2016, n. 232, si esclude dall’imposizione ai fini Irpef e da qualsiasi prelievo i premi attribuiti nell’ambito della lotteria nazionale degli scontrini. La modifica assicura al vincitore di percepire l’intero importo stabilito per ciascun premio in palio  e mira ad incentivare la partecipazione alla lotteria rafforzando la finalità anti evasione e di recupero del gettito. </w:t>
      </w:r>
    </w:p>
    <w:p w:rsidR="00000000" w:rsidDel="00000000" w:rsidP="00000000" w:rsidRDefault="00000000" w:rsidRPr="00000000" w14:paraId="000002B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normativa di cui alla </w:t>
      </w:r>
      <w:r w:rsidDel="00000000" w:rsidR="00000000" w:rsidRPr="00000000">
        <w:rPr>
          <w:rFonts w:ascii="Times New Roman" w:cs="Times New Roman" w:eastAsia="Times New Roman" w:hAnsi="Times New Roman"/>
          <w:b w:val="1"/>
          <w:sz w:val="24"/>
          <w:szCs w:val="24"/>
          <w:rtl w:val="0"/>
        </w:rPr>
        <w:t xml:space="preserve">lettera b) del comma 1</w:t>
      </w:r>
      <w:r w:rsidDel="00000000" w:rsidR="00000000" w:rsidRPr="00000000">
        <w:rPr>
          <w:rFonts w:ascii="Times New Roman" w:cs="Times New Roman" w:eastAsia="Times New Roman" w:hAnsi="Times New Roman"/>
          <w:sz w:val="24"/>
          <w:szCs w:val="24"/>
          <w:rtl w:val="0"/>
        </w:rPr>
        <w:t xml:space="preserve">,  è finalizzata a incentivare l’utilizzo di sistemi di pagamento elettronici per ridurre le operazioni commerciali effettuate esclusivamente da consumatori finali al di fuori di attività d’impresa, arte o professioni non certificate fiscalmente e aumentare la compliance dichiarativa degli operatori economici nelle transazioni con i consumatori finali. A tal fine, viene affiancata alla lotteria dei corrispettivi una specifica estrazione di premi in denaro riservati tanto ai consumatori finali quanto agli operatori IVA qualora il pagamento della operazione commerciale avviene esclusivamente con pagamento elettronico, sostituendo la precedente disposizione che prevedeva solo un aumento delle probabilità di vincita nella lotteria ordinaria.</w:t>
      </w:r>
    </w:p>
    <w:p w:rsidR="00000000" w:rsidDel="00000000" w:rsidP="00000000" w:rsidRDefault="00000000" w:rsidRPr="00000000" w14:paraId="000002B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2B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 1, lett. a)………</w:t>
      </w:r>
    </w:p>
    <w:p w:rsidR="00000000" w:rsidDel="00000000" w:rsidP="00000000" w:rsidRDefault="00000000" w:rsidRPr="00000000" w14:paraId="000002B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 1 lett. b) </w:t>
      </w:r>
      <w:r w:rsidDel="00000000" w:rsidR="00000000" w:rsidRPr="00000000">
        <w:rPr>
          <w:rFonts w:ascii="Times New Roman" w:cs="Times New Roman" w:eastAsia="Times New Roman" w:hAnsi="Times New Roman"/>
          <w:sz w:val="24"/>
          <w:szCs w:val="24"/>
          <w:rtl w:val="0"/>
        </w:rPr>
        <w:t xml:space="preserve">Per l’attuazione della disposizione viene stimato un onere annuo di 75 milioni di euro, di cui 70 milioni destinato ai premi sia verso i consumatori finali che verso gli operatori IVA che effettuano la cessione di beni ovvero la prestazione di servizio e 5 milioni per le spese di gestione amministrativa e di comunicazione. Per la copertura dei predetti 75 milioni di euro si provvede …..</w:t>
      </w:r>
    </w:p>
    <w:p w:rsidR="00000000" w:rsidDel="00000000" w:rsidP="00000000" w:rsidRDefault="00000000" w:rsidRPr="00000000" w14:paraId="000002B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21</w:t>
      </w:r>
    </w:p>
    <w:p w:rsidR="00000000" w:rsidDel="00000000" w:rsidP="00000000" w:rsidRDefault="00000000" w:rsidRPr="00000000" w14:paraId="000002B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Sanzione lotteria degli scontrini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C0">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L’esercente che al momento dell'acquisto rifiuti il codice fiscale del contribuente o non trasmetta all'Agenzia delle entrate i dati della singola cessione o prestazione secondo quanto previsto dall’articolo 1, comma 540, della legge 11 dicembre 2016, n. 232, è punito con una sanzione amministrativa da euro 500 a euro 2.000. Non si applica l'articolo 12 del decreto legislativo 18 dicembre 1997, n. 472.</w:t>
      </w:r>
    </w:p>
    <w:p w:rsidR="00000000" w:rsidDel="00000000" w:rsidP="00000000" w:rsidRDefault="00000000" w:rsidRPr="00000000" w14:paraId="000002C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2C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è volta a dare maggiore certezza alla previsione contenuta nell’articolo 1, comma 540 e ss. della legge 11 dicembre 2016, n. 232.</w:t>
      </w:r>
    </w:p>
    <w:p w:rsidR="00000000" w:rsidDel="00000000" w:rsidP="00000000" w:rsidRDefault="00000000" w:rsidRPr="00000000" w14:paraId="000002C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ora, infatti, a fronte della possibilità, per i contribuenti persone fisiche – quando effettuano acquisti di beni o servizi fuori dall'esercizio di attività di impresa, arte o professione, presso soggetti tenuti alla trasmissione telematica dei corrispettivi ex articolo 2, comma 1, del decreto legislativo 5 agosto 2015, n. 127 – di partecipare alla lotteria nazionale individuata nello stesso comma 540, fornendo il proprio codice fiscale, nessuna norma impone all’esercente di accettare o utilizzare tale codice, ovvero lo sanziona in caso di rifiuto o di mancato invio del dato (elemento indispensabile per la partecipazione stessa).</w:t>
      </w:r>
    </w:p>
    <w:p w:rsidR="00000000" w:rsidDel="00000000" w:rsidP="00000000" w:rsidRDefault="00000000" w:rsidRPr="00000000" w14:paraId="000002C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2C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misura è volta a rendere maggiormente cogenti le previsioni dell’articolo 1, comma 540 e ss. della legge 11 dicembre 2016, n. 232, sanzionando i comportamenti illegittimi degli esercenti commerciali.</w:t>
      </w:r>
    </w:p>
    <w:p w:rsidR="00000000" w:rsidDel="00000000" w:rsidP="00000000" w:rsidRDefault="00000000" w:rsidRPr="00000000" w14:paraId="000002C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 punto di vista dell’impatto finanziario non emerge alcun effetto negativo in termini di saldi di finanza pubblica. </w:t>
      </w:r>
    </w:p>
    <w:p w:rsidR="00000000" w:rsidDel="00000000" w:rsidP="00000000" w:rsidRDefault="00000000" w:rsidRPr="00000000" w14:paraId="000002C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contrario, contrastando comportamenti illegittimi, è plausibile ipotizzare che la norma in esame, anche solo indirettamente, rechi un aumento di gettito quantificabile in 4,5 milioni di euro circa. </w:t>
      </w:r>
    </w:p>
    <w:p w:rsidR="00000000" w:rsidDel="00000000" w:rsidP="00000000" w:rsidRDefault="00000000" w:rsidRPr="00000000" w14:paraId="000002C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ritiene che l’introduzione della sanzione per gli esercenti che rifiutino il codice fiscale del cliente, o che non trasmettano all'Agenzia delle entrate i dati della singola cessione o prestazione secondo quanto previsto dall’articolo 1, comma 540, della legge 11 dicembre 2016, n. 232, determini un aumento di gettito IVA dovuto all’effetto deterrenza. La lotteria degli scontrini, infatti, incentiva il cliente a chiedere lo scontrino al venditore, che lo trasmette telematicamente. </w:t>
      </w:r>
    </w:p>
    <w:p w:rsidR="00000000" w:rsidDel="00000000" w:rsidP="00000000" w:rsidRDefault="00000000" w:rsidRPr="00000000" w14:paraId="000002C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L’introduzione della sanzione esercita un effetto deterrente nei confronti degli esercenti che si oppongono alla richiesta del cliente di voler fornire il codice fiscale ai fini della trasmissione per la partecipazione alla lotteria e, conseguentemente, incentiva all’adempimento dell’obbligo fiscale della trasmissione telematica l’esercente che non avrebbe trasmesso l’operazione.  </w:t>
      </w:r>
    </w:p>
    <w:p w:rsidR="00000000" w:rsidDel="00000000" w:rsidP="00000000" w:rsidRDefault="00000000" w:rsidRPr="00000000" w14:paraId="000002C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 effetto positivo si va ad aggiungere a quello già stimato in relazione all’introduzione dell’obbligo di invio telematico dei corrispettivi di cui all’art. 2, comma 1 del decreto legislativo 5 agosto 2015, n. 127. L’ammontare IVA associato alle cessioni B2C da parte di soggetti con volume d’affari inferiore a 5 milioni, con l’esclusione di esercenti di arti e professioni, è pari a circa 35 miliardi di euro. Applicando un tasso di incremento minimo (legato a un mutamento di comportamento indotto dalla disposizione) ipotizzato nello 0.01% a tale ammontare, si ottiene un aumento di gettito IVA di 3,5 milioni di euro. A questo va aggiunto un recupero di gettito di imposte dirette stimato in ragione di 0.289 euro per ogni euro di IVA recuperata. Il recupero di gettito totale è quindi quantificabile in 4,5 milioni di euro.</w:t>
      </w:r>
    </w:p>
    <w:p w:rsidR="00000000" w:rsidDel="00000000" w:rsidP="00000000" w:rsidRDefault="00000000" w:rsidRPr="00000000" w14:paraId="000002C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22</w:t>
      </w:r>
    </w:p>
    <w:p w:rsidR="00000000" w:rsidDel="00000000" w:rsidP="00000000" w:rsidRDefault="00000000" w:rsidRPr="00000000" w14:paraId="000002D1">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Certificazioni fiscali e pagamenti elettronici) </w:t>
      </w:r>
    </w:p>
    <w:p w:rsidR="00000000" w:rsidDel="00000000" w:rsidP="00000000" w:rsidRDefault="00000000" w:rsidRPr="00000000" w14:paraId="000002D2">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D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 5 del decreto legislativo del 7 marzo 2005, n. 82, dopo il comma 2-quinques sono aggiunti i seguenti: “2-sexies. La piattaforma tecnologica di cui al comma 2 può essere utilizzata anche per facilitare e automatizzare, attraverso i pagamenti elettronici, i processi di certificazione fiscale tra soggetti privati, tra cui la fatturazione elettronica e la memorizzazione e trasmissione dei dati dei corrispettivi giornalieri di cui agli articoli 1 e 2 del decreto legislativo 5 agosto 2015, n. 127.</w:t>
      </w:r>
    </w:p>
    <w:p w:rsidR="00000000" w:rsidDel="00000000" w:rsidP="00000000" w:rsidRDefault="00000000" w:rsidRPr="00000000" w14:paraId="000002D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2-septies. Con decreto del Presidente del Consiglio dei Ministri o del Ministro delegato per l’innovazione tecnologica e la digitalizzazione, d’intesa con il Ministero dell’economia e delle finanze e l’Agenzia delle entrate, sono definite le regole tecniche di funzionamento della piattaforma tecnologica e dei processi di cui al comma 2-sexies.”. </w:t>
      </w:r>
    </w:p>
    <w:p w:rsidR="00000000" w:rsidDel="00000000" w:rsidP="00000000" w:rsidRDefault="00000000" w:rsidRPr="00000000" w14:paraId="000002D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2D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comma 2-sexies ha l’obiettivo di integrare all’interno della piattaforma di cui al comma 2 dell’art. 5 del decreto legislativo del 7 marzo 2005, n. 82, ulteriori funzionalità ed in particolare ha l’obiettivo di mettere a disposizione, in modo automatico durante il pagamento,  i dati necessari per la produzione della fattura elettronica agli esercenti aderenti e ai loro eventuali provider di fatturazione, per le transazioni effettuate dai clienti finali mediante carta di pagamento su POS opportunamente integrati.</w:t>
      </w:r>
    </w:p>
    <w:p w:rsidR="00000000" w:rsidDel="00000000" w:rsidP="00000000" w:rsidRDefault="00000000" w:rsidRPr="00000000" w14:paraId="000002D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Questo processo rende automatica la produzione della fattura elettronica evitando attività manuali e conseguenti errori.</w:t>
      </w:r>
    </w:p>
    <w:p w:rsidR="00000000" w:rsidDel="00000000" w:rsidP="00000000" w:rsidRDefault="00000000" w:rsidRPr="00000000" w14:paraId="000002D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comma 2-septies indica che le regole tecniche sono emanate con decreto del Presidente del Consiglio dei Ministri o del Ministro delegato per l’innovazione tecnologica e la digitalizzazione, d’intesa con il Ministero dell’economia e delle finanze e l’Agenzia delle entrate.</w:t>
      </w:r>
    </w:p>
    <w:p w:rsidR="00000000" w:rsidDel="00000000" w:rsidP="00000000" w:rsidRDefault="00000000" w:rsidRPr="00000000" w14:paraId="000002DA">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2D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lo sviluppo delle funzionalità sono necessari 4 milioni di Euro da versare alla società PagoPA SpA che gestisce la piattaforma di cui al comma 2 dell’art. 5 del decreto legislativo del 7 marzo 2005, n. 82. Va tuttavia osservato che il testo interviene novellando il d.lgs.82/2005, il Codice dell’amministrazione digitale, che all’art 91 (“Oneri finanziari”) recita “All’attuazione del presente codice si provvede nell’ambito delle risorse previste a legislazione vigente”; il CAD, dunque, non ha proprie risorse e quindi, per evidenti ragioni di coerenza e sistematiche, la copertura degli oneri finanziari andrà prevista in altra fonte legislativa, quale, ad esempio, la legge di bilancio.</w:t>
      </w:r>
    </w:p>
    <w:p w:rsidR="00000000" w:rsidDel="00000000" w:rsidP="00000000" w:rsidRDefault="00000000" w:rsidRPr="00000000" w14:paraId="000002D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meglio comprendere la quantificazione finanziaria sopra esposta si rappresenta che le funzionalità da integrare all’interno della piattaforma di cui al comma 2 dell’art. 5 del decreto legislativo del 7 marzo 2005, n. 82, devono garantire il seguente funzionamento.</w:t>
      </w:r>
    </w:p>
    <w:p w:rsidR="00000000" w:rsidDel="00000000" w:rsidP="00000000" w:rsidRDefault="00000000" w:rsidRPr="00000000" w14:paraId="000002D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processo inizia nel momento in cui il cliente finale procede all’acquisto del bene o servizio presso il Merchant ed al pagamento con carta di pagamento aziendale. A valle del pagamento il POS presenta la opzione di richiesta fattura che può essere selezionata per quelle transazioni per le quali il Cliente richiede fattura. In caso di selezione della richiesta fattura il POS provvede a catturare i dati della carta, catturare le informazioni (prodotto, quantità, aliquota) della transazione, trasmettere, mediante il Gestore Terminali del POS, i dati della carta e della transazione al Sistema Centrale utilizzando il canale convenzionato nella fase di adesione</w:t>
      </w:r>
    </w:p>
    <w:p w:rsidR="00000000" w:rsidDel="00000000" w:rsidP="00000000" w:rsidRDefault="00000000" w:rsidRPr="00000000" w14:paraId="000002D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L’applicazione all’interno del POS per la richiesta di fattura è separata dall’applicazione bancaria di pagamento, la quale non subisce modifiche rispetto agli standard attuali e di circuito. Pertanto le transazioni di pagamento vengono gestite secondo gli schemi operativi previsti dai circuiti di pagamento, mentre solo una parte di queste rappresentano un input per il processo di supporto alla fatturazione.</w:t>
      </w:r>
    </w:p>
    <w:p w:rsidR="00000000" w:rsidDel="00000000" w:rsidP="00000000" w:rsidRDefault="00000000" w:rsidRPr="00000000" w14:paraId="000002E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Sistema Centrale provvede a ricevere dal Gestore Terminali le informazioni relative alla transazione e alla carta di pagamento utilizzata, individua la Banca Issuer della carta di pagamento utilizzata dal Cliente finale e una volta individuata la Banca Issuer ottenere le informazioni relative alla P.IVA/CF del titolare, a fronte della carta di pagamento (cfr. Assumption), interrogare l’Anagrafe tributaria per ottenere le informazioni relative alla Ragione sociale, indirizzo e Codice SDI/PEC , a fronte della P.IVA/CF ottenuto dalla interrogazione di cui sopra, comporre la fattura aggregando le informazioni della transazione, trasmettere la fattura al Provider di fatturazione del Merchant, secondo il canale di comunicazione previsto nella fase di adesione. Il Modello operativo ha una fase di adesione al servizio che viene svolta dagli esercenti, dai provider di fatturazione e dai GT/BE su base volontaria. Le adesioni del Provider di fatturazione e del GT/BE consistono nello stabilire un accordo di servizio con PagoPA del Servizio, in cui viene condiviso il canale di comunicazione, gli indirizzi, le specifiche di integrazione, le credenziali di autenticazione e sicurezza. L’adesione del Merchant consiste nella registrazione della propria anagrafica, dei propri terminali e la identificazione del proprio Provider di fatturazione, tra quelli convenzionati.</w:t>
      </w:r>
    </w:p>
    <w:p w:rsidR="00000000" w:rsidDel="00000000" w:rsidP="00000000" w:rsidRDefault="00000000" w:rsidRPr="00000000" w14:paraId="000002E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23</w:t>
      </w:r>
    </w:p>
    <w:p w:rsidR="00000000" w:rsidDel="00000000" w:rsidP="00000000" w:rsidRDefault="00000000" w:rsidRPr="00000000" w14:paraId="000002E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Sanzioni per mancata accettazione di pagamenti effettuati con carte di debito e credito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E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15 del decreto-legge 18 ottobre 2012, n. 179, convertito, con modificazioni, dalla legge 17 dicembre 2012, n. 221, dopo il comma 4, è aggiunto il seguente: “4-bis. Nei casi di mancata accettazione di un pagamento effettuato con una carta di debito o di credito, da parte di un soggetto obbligato ai sensi del comma 4, si applica nei confronti del medesimo soggetto una sanzione amministrativa di importo pari a 30 Euro, aumentata del 4 per cento del valore della transazione per la quale sia stata rifiutata l’accettazione del pagamento con mezzi elettronici. Per le sanzioni relative alle violazioni di cui al presente comma, si applicano le procedure e i termini previsti dalle disposizioni di cui alla legge 24 novembre 1981, n. 689, ad eccezione dell’articolo 16 sul pagamento in misura ridotta, e l’autorità competente a ricevere il rapporto di cui all’articolo 17 della medesima legge è il Prefetto del territorio nel quale hanno avuto luogo le violazioni. All’accertamento delle violazioni di cui al presente comma provvedono gli organi che, ai sensi dell’articolo 13, comma 1, della legge 24 novembre 1981, n. 689, sono addetti al controllo sull’osservanza delle disposizioni per la cui violazione è prevista la sanzione amministrativa del pagamento di una somma di denaro, nonché ai sensi dell’articolo 13, comma 4, della medesima legge n. 689 del 1981, gli ufficiali e gli agenti di polizia giudiziaria.”.</w:t>
      </w:r>
    </w:p>
    <w:p w:rsidR="00000000" w:rsidDel="00000000" w:rsidP="00000000" w:rsidRDefault="00000000" w:rsidRPr="00000000" w14:paraId="000002E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2E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 15 del D.L. 18 ottobre 2012, n. 179, convertito, con modificazioni, dalla legge 17 dicembre 2012, n. 221 prevede l’obbligo per i commercianti e professionisti di accettare pagamenti effettuati attraverso carte di debito e di credito.</w:t>
      </w:r>
    </w:p>
    <w:p w:rsidR="00000000" w:rsidDel="00000000" w:rsidP="00000000" w:rsidRDefault="00000000" w:rsidRPr="00000000" w14:paraId="000002E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 obbligo, tuttavia, non è ad oggi assistito da alcuna sanzione nel caso in cui al consumatore sia stato rifiutato il pagamento con carta. Il Consiglio di Stato ha, infatti, espresso parere contrario (parere n. 1446/2018) allo schema di decreto del Ministro dello sviluppo economico, di concerto con il Ministro dell’economia e delle finanze, che, in attuazione dell’art. 5 del D.L. 179/2012, introduceva un meccanismo sanzionatorio in caso di rifiuto del pagamento con carta. Nel merito, il Consiglio di Stato riteneva l’art. 15, comma 5 del D.L. 179/2012 “non rispettoso del principio costituzionale della riserva di legge in quanto carente di qualsiasi criterio direttivo, sostanziale e procedurale”. </w:t>
      </w:r>
    </w:p>
    <w:p w:rsidR="00000000" w:rsidDel="00000000" w:rsidP="00000000" w:rsidRDefault="00000000" w:rsidRPr="00000000" w14:paraId="000002E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superare il mancato allineamento normativo derivante dalla sussistenza di un obbligo rispetto alla cui violazione manca la relativa sanzione, è stato introdotto nel D.L. 179/2012 il comma 4-bis che prevede una specifica sanzione per la mancata accettazione dei pagamenti con carta di debito o carta di credito. La norma intende superare le censure mosse dal Consiglio di Stato, indicando espressamente l’importo della sanzione, l’autorità competente ad irrogare la sanzione e i criteri relativi alla procedura applicabile.</w:t>
      </w:r>
    </w:p>
    <w:p w:rsidR="00000000" w:rsidDel="00000000" w:rsidP="00000000" w:rsidRDefault="00000000" w:rsidRPr="00000000" w14:paraId="000002E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Nello specifico, la sanzione prevista sarebbe pari a 30 Euro aumentata del 4% del valore della transazione per la quale sia stata rifiutata l’accettazione del pagamento con carte. L’inserimento della percentuale sulla transazione, in aggiunta alla somma fissa, è finalizzato a graduare l’importo della sanzione, nel rispetto del principio di proporzionalità, a seconda della diversa entità delle transizioni rispetto alle quali viene rifiutato il pagamento con strumenti elettronici.  </w:t>
      </w:r>
    </w:p>
    <w:p w:rsidR="00000000" w:rsidDel="00000000" w:rsidP="00000000" w:rsidRDefault="00000000" w:rsidRPr="00000000" w14:paraId="000002E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la disciplina dell’accertamento della violazione dell’obbligo di cui al comma 4 del D.L. 179/2012 e del relativo procedimento sanzionatorio si rinvia alla l. 24 novembre 1981, n. 689, prevedendo una deroga all’art. 16 sul pagamento in misura ridotta.</w:t>
      </w:r>
    </w:p>
    <w:p w:rsidR="00000000" w:rsidDel="00000000" w:rsidP="00000000" w:rsidRDefault="00000000" w:rsidRPr="00000000" w14:paraId="000002E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L’articolato si propone di disincentivare comportamenti cash-based e si inserisce in una più ampia strategia di riduzione del contante e di promozione di strumenti di pagamento alternativi al contante, in un’ottica non solo di emersione dell’economia sommersa ma anche di stimolo allo sviluppo tecnologico con ricadute positive in termini di modernizzazione della società e dell’economia.</w:t>
      </w:r>
    </w:p>
    <w:p w:rsidR="00000000" w:rsidDel="00000000" w:rsidP="00000000" w:rsidRDefault="00000000" w:rsidRPr="00000000" w14:paraId="000002E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24</w:t>
      </w:r>
    </w:p>
    <w:p w:rsidR="00000000" w:rsidDel="00000000" w:rsidP="00000000" w:rsidRDefault="00000000" w:rsidRPr="00000000" w14:paraId="000002F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Obbligo conto dedicato per le imprese individuali ed i professionisti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F2">
      <w:pPr>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2F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yellow"/>
          <w:rtl w:val="0"/>
        </w:rPr>
        <w:t xml:space="preserve">VERSIONE 1</w:t>
      </w: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Al decreto del Presidente della Repubblica 29 settembre 1973, n. 600 sono apportate le seguenti modificazioni:</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all'articolo 18, dopo il secondo comma è inserito il seguente: “I soggetti indicati alla lettera d) del primo comma dell'articolo 13, sono obbligati a tenere uno o più conti correnti bancari o postali ai quali affluiscono, obbligatoriamente, solo le somme riscosse nell'esercizio dell'attività e dai quali sono effettuati i prelevamenti per il pagamento delle spese.”;</w:t>
      </w:r>
    </w:p>
    <w:p w:rsidR="00000000" w:rsidDel="00000000" w:rsidP="00000000" w:rsidRDefault="00000000" w:rsidRPr="00000000" w14:paraId="000002F6">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all'articolo 19, dopo il secondo comma è aggiunto il seguente: "I soggetti di cui al primo comma, sono obbligati a tenere uno o più conti correnti bancari o postali ai quali affluiscono, obbligatoriamente, solo le somme riscosse nell'esercizio dell'attività e dai quali sono effettuati i prelevamenti per il pagamento delle spese.”.</w:t>
      </w:r>
    </w:p>
    <w:p w:rsidR="00000000" w:rsidDel="00000000" w:rsidP="00000000" w:rsidRDefault="00000000" w:rsidRPr="00000000" w14:paraId="000002F7">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 La disposizione di cui al comma 1 si applica, per i soggetti ivi indicati, a partire dal secondo anno di attività.</w:t>
      </w:r>
    </w:p>
    <w:p w:rsidR="00000000" w:rsidDel="00000000" w:rsidP="00000000" w:rsidRDefault="00000000" w:rsidRPr="00000000" w14:paraId="000002F8">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F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illustrativa</w:t>
      </w:r>
    </w:p>
    <w:p w:rsidR="00000000" w:rsidDel="00000000" w:rsidP="00000000" w:rsidRDefault="00000000" w:rsidRPr="00000000" w14:paraId="000002FA">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F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disposizione introduce  negli articoli 18 e 19 del D.P.R. n. 600 del 197, riguardanti, rispettivamente, le scritture contabili delle imprese minori e, in particolare, delle imprese individuali di cui </w:t>
      </w:r>
      <w:r w:rsidDel="00000000" w:rsidR="00000000" w:rsidRPr="00000000">
        <w:rPr>
          <w:rFonts w:ascii="Times New Roman" w:cs="Times New Roman" w:eastAsia="Times New Roman" w:hAnsi="Times New Roman"/>
          <w:sz w:val="24"/>
          <w:szCs w:val="24"/>
          <w:rtl w:val="0"/>
        </w:rPr>
        <w:t xml:space="preserve">alla lettera d) del primo comma dell'articolo 13 e de</w:t>
      </w:r>
      <w:r w:rsidDel="00000000" w:rsidR="00000000" w:rsidRPr="00000000">
        <w:rPr>
          <w:rFonts w:ascii="Times New Roman" w:cs="Times New Roman" w:eastAsia="Times New Roman" w:hAnsi="Times New Roman"/>
          <w:color w:val="000000"/>
          <w:sz w:val="24"/>
          <w:szCs w:val="24"/>
          <w:rtl w:val="0"/>
        </w:rPr>
        <w:t xml:space="preserve">gli esercenti arti e professioni (persone fisiche che esercitano arti e professioni e società o associazioni fra artisti e professionisti di cui all’articolo 13, comma 1, lettere e) ed f), una previsione recante l’obbligo di tenuta di uno o più correnti bancari o postali utilizzati per la gestione dell'attività (tali conti, pertanto, dovranno essere utilizzati per compiere prelevamenti per il pagamento delle spese sostenute e per far affluire obbligatoriamente i compensi riscossi nell'esercizio dell’attività professionale). </w:t>
      </w:r>
    </w:p>
    <w:p w:rsidR="00000000" w:rsidDel="00000000" w:rsidP="00000000" w:rsidRDefault="00000000" w:rsidRPr="00000000" w14:paraId="000002F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predetti conti dovranno essere dedicati esclusivamente a prelievi e versamenti relativi all’attività esercitata. </w:t>
      </w:r>
    </w:p>
    <w:p w:rsidR="00000000" w:rsidDel="00000000" w:rsidP="00000000" w:rsidRDefault="00000000" w:rsidRPr="00000000" w14:paraId="000002FD">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misura non si applica ai contribuenti persone fisiche nella fase di start up.</w:t>
      </w:r>
    </w:p>
    <w:p w:rsidR="00000000" w:rsidDel="00000000" w:rsidP="00000000" w:rsidRDefault="00000000" w:rsidRPr="00000000" w14:paraId="000002FE">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FF">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0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tecnica </w:t>
      </w:r>
    </w:p>
    <w:p w:rsidR="00000000" w:rsidDel="00000000" w:rsidP="00000000" w:rsidRDefault="00000000" w:rsidRPr="00000000" w14:paraId="00000301">
      <w:pP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02">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La platea su cui insiste la norma si compone di 1,4 milioni di contribuenti forfetari e 2,2 milioni di contribuenti assoggettati a tassazione ordinaria. </w:t>
      </w:r>
      <w:r w:rsidDel="00000000" w:rsidR="00000000" w:rsidRPr="00000000">
        <w:rPr>
          <w:rtl w:val="0"/>
        </w:rPr>
      </w:r>
    </w:p>
    <w:p w:rsidR="00000000" w:rsidDel="00000000" w:rsidP="00000000" w:rsidRDefault="00000000" w:rsidRPr="00000000" w14:paraId="00000303">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La norma esercita un effetto deterrente in quanto contribuisce a rendere più chiaro il collegamento tra i proventi dell’attività professionale e i conseguenti flussi di cassa.</w:t>
      </w:r>
      <w:r w:rsidDel="00000000" w:rsidR="00000000" w:rsidRPr="00000000">
        <w:rPr>
          <w:rtl w:val="0"/>
        </w:rPr>
      </w:r>
    </w:p>
    <w:p w:rsidR="00000000" w:rsidDel="00000000" w:rsidP="00000000" w:rsidRDefault="00000000" w:rsidRPr="00000000" w14:paraId="00000304">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Tale effetto risulta aggiuntivo rispetto ad altre norme, già quantificate nei flussi del bilancio pubblico, che hanno previsto la tracciabilità dell’attività dei contribuenti quali l’obbligo di trasmissione telematica delle fatture e l’invio telematico dei corrispettivi.</w:t>
      </w:r>
      <w:r w:rsidDel="00000000" w:rsidR="00000000" w:rsidRPr="00000000">
        <w:rPr>
          <w:rtl w:val="0"/>
        </w:rPr>
      </w:r>
    </w:p>
    <w:p w:rsidR="00000000" w:rsidDel="00000000" w:rsidP="00000000" w:rsidRDefault="00000000" w:rsidRPr="00000000" w14:paraId="00000305">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Prudenzialmente, l’effetto incrementale si stima nell’ordine dello 0,2%.</w:t>
      </w:r>
      <w:r w:rsidDel="00000000" w:rsidR="00000000" w:rsidRPr="00000000">
        <w:rPr>
          <w:rtl w:val="0"/>
        </w:rPr>
      </w:r>
    </w:p>
    <w:p w:rsidR="00000000" w:rsidDel="00000000" w:rsidP="00000000" w:rsidRDefault="00000000" w:rsidRPr="00000000" w14:paraId="00000306">
      <w:pPr>
        <w:spacing w:after="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Attualmente le persone fisiche titolati di partita IVA, al netto dei contribuenti forfetari, assicurano al bilancio pubblico 19,1 miliardi di imposta netta IRPEF, 12,3 miliardi di IVA di competenza e 1,3 miliardi di IRAP. Applicando a tali importi l’incremento di compliance ipotizzato si ottengono la seguenti cifre: 38,2 milioni di IRPEF, 24,6 milioni di IVA e 2,7 di IRAP, per un totale di </w:t>
      </w:r>
      <w:r w:rsidDel="00000000" w:rsidR="00000000" w:rsidRPr="00000000">
        <w:rPr>
          <w:rFonts w:ascii="Times New Roman" w:cs="Times New Roman" w:eastAsia="Times New Roman" w:hAnsi="Times New Roman"/>
          <w:b w:val="1"/>
          <w:color w:val="000000"/>
          <w:sz w:val="24"/>
          <w:szCs w:val="24"/>
          <w:rtl w:val="0"/>
        </w:rPr>
        <w:t xml:space="preserve">65,6 milioni.</w:t>
      </w:r>
      <w:r w:rsidDel="00000000" w:rsidR="00000000" w:rsidRPr="00000000">
        <w:rPr>
          <w:rtl w:val="0"/>
        </w:rPr>
      </w:r>
    </w:p>
    <w:p w:rsidR="00000000" w:rsidDel="00000000" w:rsidP="00000000" w:rsidRDefault="00000000" w:rsidRPr="00000000" w14:paraId="00000307">
      <w:pPr>
        <w:rPr>
          <w:rFonts w:ascii="Times New Roman" w:cs="Times New Roman" w:eastAsia="Times New Roman" w:hAnsi="Times New Roman"/>
          <w:b w:val="1"/>
          <w:color w:val="000000"/>
          <w:sz w:val="24"/>
          <w:szCs w:val="24"/>
          <w:highlight w:val="yellow"/>
        </w:rPr>
      </w:pPr>
      <w:r w:rsidDel="00000000" w:rsidR="00000000" w:rsidRPr="00000000">
        <w:rPr>
          <w:rtl w:val="0"/>
        </w:rPr>
      </w:r>
    </w:p>
    <w:p w:rsidR="00000000" w:rsidDel="00000000" w:rsidP="00000000" w:rsidRDefault="00000000" w:rsidRPr="00000000" w14:paraId="0000030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yellow"/>
          <w:rtl w:val="0"/>
        </w:rPr>
        <w:t xml:space="preserve">VERSIONE 2</w:t>
      </w: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Al decreto del Presidente della Repubblica 29 settembre 1973, n. 600 sono apportate le seguenti modifiche:</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all'articolo 18, dopo il secondo comma è inserito il seguente: “I soggetti indicati alla lettera d) del primo comma dell'articolo 13,  indipendentemente dal regime di determinazione del reddito adottato, sono obbligati a tenere uno o più conti correnti bancari o postali ai quali affluiscono, obbligatoriamente, solo le somme riscosse nell'esercizio dell'attività e dai quali sono effettuati i prelevamenti per il pagamento delle spese. Le disposizioni di cui al periodo precedente non si applicano ai soggetti di cui agli articoli 18-bis e 18-ter”;</w:t>
      </w:r>
    </w:p>
    <w:p w:rsidR="00000000" w:rsidDel="00000000" w:rsidP="00000000" w:rsidRDefault="00000000" w:rsidRPr="00000000" w14:paraId="0000030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all'articolo 19, dopo il secondo comma è aggiunto il seguente: "I soggetti di cui al primo comma, indipendentemente dal regime di determinazione del reddito adottato, sono obbligati a tenere uno o più conti correnti bancari o postali ai quali affluiscono, obbligatoriamente, solo le somme riscosse nell'esercizio dell'attività e dai quali sono effettuati i prelevamenti per il pagamento delle spese.”.</w:t>
      </w:r>
    </w:p>
    <w:p w:rsidR="00000000" w:rsidDel="00000000" w:rsidP="00000000" w:rsidRDefault="00000000" w:rsidRPr="00000000" w14:paraId="0000030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Le disposizioni di cui al comma 1 si applica, per i soggetti ivi indicati, a partire dal secondo anno di attività.</w:t>
      </w:r>
    </w:p>
    <w:p w:rsidR="00000000" w:rsidDel="00000000" w:rsidP="00000000" w:rsidRDefault="00000000" w:rsidRPr="00000000" w14:paraId="0000030D">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0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illustrativa</w:t>
      </w:r>
    </w:p>
    <w:p w:rsidR="00000000" w:rsidDel="00000000" w:rsidP="00000000" w:rsidRDefault="00000000" w:rsidRPr="00000000" w14:paraId="0000030F">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10">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disposizione introduce  negli articoli 18 e 19 del D.P.R. n. 600 del 197, riguardanti, rispettivamente, le scritture contabili delle imprese minori e, in particolare, delle imprese individuali di cui alla lettera d) del primo comma dell'articolo 13 e degli esercenti arti e professioni (persone fisiche che esercitano arti e professioni e società o associazioni fra artisti e professionisti di cui all’articolo 13, comma 1, lettere e) ed f), una previsione recante l’obbligo di tenuta di uno o più correnti bancari o postali utilizzati per la gestione dell'attività (tali conti, pertanto, dovranno essere utilizzati per compiere prelevamenti per il pagamento delle spese sostenute e per far affluire obbligatoriamente i compensi riscossi nell'esercizio dell’attività professionale). </w:t>
      </w:r>
    </w:p>
    <w:p w:rsidR="00000000" w:rsidDel="00000000" w:rsidP="00000000" w:rsidRDefault="00000000" w:rsidRPr="00000000" w14:paraId="00000311">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predetti conti dovranno essere dedicati esclusivamente a prelievi e versamenti relativi all’attività esercitata. </w:t>
      </w:r>
    </w:p>
    <w:p w:rsidR="00000000" w:rsidDel="00000000" w:rsidP="00000000" w:rsidRDefault="00000000" w:rsidRPr="00000000" w14:paraId="00000312">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misura si applica anche ai contribuenti forfetari fermo restando che la stessa non si applica ai contribuenti nella fase di start up.</w:t>
      </w:r>
    </w:p>
    <w:p w:rsidR="00000000" w:rsidDel="00000000" w:rsidP="00000000" w:rsidRDefault="00000000" w:rsidRPr="00000000" w14:paraId="00000313">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1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Relazione tecnica </w:t>
      </w:r>
    </w:p>
    <w:p w:rsidR="00000000" w:rsidDel="00000000" w:rsidP="00000000" w:rsidRDefault="00000000" w:rsidRPr="00000000" w14:paraId="00000315">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16">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platea su cui insiste la norma si compone di 1,4 milioni di contribuenti forfetari e 2,2 milioni di contribuenti assoggettati a tassazione ordinaria. </w:t>
      </w:r>
    </w:p>
    <w:p w:rsidR="00000000" w:rsidDel="00000000" w:rsidP="00000000" w:rsidRDefault="00000000" w:rsidRPr="00000000" w14:paraId="00000317">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norma esercita un effetto deterrente in quanto contribuisce a rendere più chiaro il collegamento tra i proventi dell’attività professionale e i conseguenti flussi di cassa.</w:t>
      </w:r>
    </w:p>
    <w:p w:rsidR="00000000" w:rsidDel="00000000" w:rsidP="00000000" w:rsidRDefault="00000000" w:rsidRPr="00000000" w14:paraId="0000031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Tale effetto risulta aggiuntivo rispetto ad altre norme, già quantificate nei flussi del bilancio pubblico, che hanno previsto la tracciabilità dell’attività dei contribuenti quali l’obbligo di trasmissione telematica delle fatture e l’invio telematico dei corrispettivi.</w:t>
      </w:r>
    </w:p>
    <w:p w:rsidR="00000000" w:rsidDel="00000000" w:rsidP="00000000" w:rsidRDefault="00000000" w:rsidRPr="00000000" w14:paraId="00000319">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Prudenzialmente, l’effetto incrementale si stima nell’ordine dello 0,2%.</w:t>
      </w:r>
    </w:p>
    <w:p w:rsidR="00000000" w:rsidDel="00000000" w:rsidP="00000000" w:rsidRDefault="00000000" w:rsidRPr="00000000" w14:paraId="0000031A">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Attualmente le persone fisiche titolati di partita IVA assicurano al bilancio pubblico 2,6 miliardi di imposta sostitutiva, 19,1 miliardi di imposta netta IRPEF, 12,3 miliardi di IVA di competenza e 1,3 miliardi di IRAP. Applicando a tali importi l’incremento di compliance ipotizzato si ottengono la seguenti cifre: 5,2 milioni di imposta sostitutiva, 38,2 milioni di IRPEF, 24,6 milioni di IVA e 2,7 di IRAP, </w:t>
      </w:r>
      <w:r w:rsidDel="00000000" w:rsidR="00000000" w:rsidRPr="00000000">
        <w:rPr>
          <w:rFonts w:ascii="Times New Roman" w:cs="Times New Roman" w:eastAsia="Times New Roman" w:hAnsi="Times New Roman"/>
          <w:b w:val="1"/>
          <w:color w:val="000000"/>
          <w:sz w:val="24"/>
          <w:szCs w:val="24"/>
          <w:rtl w:val="0"/>
        </w:rPr>
        <w:t xml:space="preserve">per un totale di 70,7 milioni</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31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TITOLO II</w:t>
      </w:r>
    </w:p>
    <w:p w:rsidR="00000000" w:rsidDel="00000000" w:rsidP="00000000" w:rsidRDefault="00000000" w:rsidRPr="00000000" w14:paraId="0000031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Disposizioni in materia di giochi </w:t>
      </w:r>
    </w:p>
    <w:p w:rsidR="00000000" w:rsidDel="00000000" w:rsidP="00000000" w:rsidRDefault="00000000" w:rsidRPr="00000000" w14:paraId="0000031F">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25</w:t>
      </w:r>
    </w:p>
    <w:p w:rsidR="00000000" w:rsidDel="00000000" w:rsidP="00000000" w:rsidRDefault="00000000" w:rsidRPr="00000000" w14:paraId="0000032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Proroga gare scommesse e Bingo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2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1, comma 1048, della legge 27 dicembre 2017, n. 205, le parole “da indire entro il 30 settembre 2018” sono sostituite dalle seguenti: “da indire entro il 30 giugno 2020” e le parole “e, comunque, non oltre il 31 dicembre 2019” sono sostituite dalle seguenti: “e, comunque, non oltre il 31 dicembre 2020”. </w:t>
      </w:r>
    </w:p>
    <w:p w:rsidR="00000000" w:rsidDel="00000000" w:rsidP="00000000" w:rsidRDefault="00000000" w:rsidRPr="00000000" w14:paraId="0000032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All’articolo 1, comma 636, della legge 27 dicembre 2013, n. 147, le parole “anni dal 2013 al 2019” sono sostituite dalle seguenti “anni dal 2013 al 2020” e le parole “entro il 30 settembre 2018” sono sostituite dalle seguenti: “entro il 30 settembre 2020”.</w:t>
      </w:r>
    </w:p>
    <w:p w:rsidR="00000000" w:rsidDel="00000000" w:rsidP="00000000" w:rsidRDefault="00000000" w:rsidRPr="00000000" w14:paraId="00000325">
      <w:pPr>
        <w:spacing w:after="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326">
      <w:pPr>
        <w:spacing w:after="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32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32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si rende opportuna a seguito della sospensione, da parte del Consiglio di Stato, del parere obbligatorio da rendere sugli atti di gara. Tale contesto rende impossibile che la nuova Gara venga conclusa nel corso del corrente anno, attesi i tempi tecnici necessari al relativo svolgimento.</w:t>
      </w:r>
    </w:p>
    <w:p w:rsidR="00000000" w:rsidDel="00000000" w:rsidP="00000000" w:rsidRDefault="00000000" w:rsidRPr="00000000" w14:paraId="0000032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Conseguentemente:</w:t>
      </w:r>
    </w:p>
    <w:p w:rsidR="00000000" w:rsidDel="00000000" w:rsidP="00000000" w:rsidRDefault="00000000" w:rsidRPr="00000000" w14:paraId="0000032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quanto alle scommesse (</w:t>
      </w:r>
      <w:r w:rsidDel="00000000" w:rsidR="00000000" w:rsidRPr="00000000">
        <w:rPr>
          <w:rFonts w:ascii="Times New Roman" w:cs="Times New Roman" w:eastAsia="Times New Roman" w:hAnsi="Times New Roman"/>
          <w:b w:val="1"/>
          <w:sz w:val="24"/>
          <w:szCs w:val="24"/>
          <w:rtl w:val="0"/>
        </w:rPr>
        <w:t xml:space="preserve">comma </w:t>
      </w:r>
      <w:r w:rsidDel="00000000" w:rsidR="00000000" w:rsidRPr="00000000">
        <w:rPr>
          <w:rFonts w:ascii="Times New Roman" w:cs="Times New Roman" w:eastAsia="Times New Roman" w:hAnsi="Times New Roman"/>
          <w:sz w:val="24"/>
          <w:szCs w:val="24"/>
          <w:rtl w:val="0"/>
        </w:rPr>
        <w:t xml:space="preserve">1) al fine di evitare la sospensione della raccolta per tali giochi, si rende necessario prevedere in via legislativa una proroga tecnica limitata ai tempi di svolgimento della nuova gara, con scadenza contestuale all’attribuzione delle nuove concessioni.</w:t>
      </w:r>
    </w:p>
    <w:p w:rsidR="00000000" w:rsidDel="00000000" w:rsidP="00000000" w:rsidRDefault="00000000" w:rsidRPr="00000000" w14:paraId="0000032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relativamente al Bingo (</w:t>
      </w:r>
      <w:r w:rsidDel="00000000" w:rsidR="00000000" w:rsidRPr="00000000">
        <w:rPr>
          <w:rFonts w:ascii="Times New Roman" w:cs="Times New Roman" w:eastAsia="Times New Roman" w:hAnsi="Times New Roman"/>
          <w:b w:val="1"/>
          <w:sz w:val="24"/>
          <w:szCs w:val="24"/>
          <w:rtl w:val="0"/>
        </w:rPr>
        <w:t xml:space="preserve">comma 2</w:t>
      </w:r>
      <w:r w:rsidDel="00000000" w:rsidR="00000000" w:rsidRPr="00000000">
        <w:rPr>
          <w:rFonts w:ascii="Times New Roman" w:cs="Times New Roman" w:eastAsia="Times New Roman" w:hAnsi="Times New Roman"/>
          <w:sz w:val="24"/>
          <w:szCs w:val="24"/>
          <w:rtl w:val="0"/>
        </w:rPr>
        <w:t xml:space="preserve">) si rende necessario prevedere un nuovo termine per l’indizione della gara; con l’effetto di prorogare le convenzioni di concessioni attualmente in essere ed estendere anche alle concessioni che scadono nel corso dell’anno 2020 la possibilità di partecipare alla gara.</w:t>
      </w:r>
    </w:p>
    <w:p w:rsidR="00000000" w:rsidDel="00000000" w:rsidP="00000000" w:rsidRDefault="00000000" w:rsidRPr="00000000" w14:paraId="0000032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entrambi i casi la proroga è prevista a titolo oneroso per i concessionari. </w:t>
      </w:r>
    </w:p>
    <w:p w:rsidR="00000000" w:rsidDel="00000000" w:rsidP="00000000" w:rsidRDefault="00000000" w:rsidRPr="00000000" w14:paraId="0000032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3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33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Comma 1</w:t>
      </w:r>
    </w:p>
    <w:p w:rsidR="00000000" w:rsidDel="00000000" w:rsidP="00000000" w:rsidRDefault="00000000" w:rsidRPr="00000000" w14:paraId="0000033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Sulla base dei punti in esercizio come emergenti dalle ultime rilevazioni aggiornate al mese di settembre 2019, è possibile stimare dalla proroga un’entrata per il 2020 nell’ordine di 52,1 milioni di euro, considerando che attualmente sono operative n. 5.921 sale e n. 4735 corner per la raccolta del gioco, a invarianza di costo per singolo diritto a titolo di una tantum (euro 6.000 per diritto afferente ai punti vendita aventi come attività principale la commercializzazione dei prodotti di gioco pubblici, compresi i punti di raccolta regolarizzati e euro 3.500 per ogni diritto afferente ai punti vendita aventi come attività accessoria la commercializzazione dei prodotti di gioco pubblici, c.d. “corner”), già previsto lo scorso anno, come da seguente quantificazione: </w:t>
      </w:r>
    </w:p>
    <w:p w:rsidR="00000000" w:rsidDel="00000000" w:rsidP="00000000" w:rsidRDefault="00000000" w:rsidRPr="00000000" w14:paraId="0000033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5.921 x 6.000 = 35,5 Ml€</w:t>
      </w:r>
    </w:p>
    <w:p w:rsidR="00000000" w:rsidDel="00000000" w:rsidP="00000000" w:rsidRDefault="00000000" w:rsidRPr="00000000" w14:paraId="0000033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4735 x 3.500</w:t>
        <w:tab/>
        <w:t xml:space="preserve">= 16,6</w:t>
      </w:r>
    </w:p>
    <w:p w:rsidR="00000000" w:rsidDel="00000000" w:rsidP="00000000" w:rsidRDefault="00000000" w:rsidRPr="00000000" w14:paraId="0000033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Totale:</w:t>
        <w:tab/>
        <w:tab/>
        <w:t xml:space="preserve">+ 52,1 Ml€/anno</w:t>
      </w:r>
    </w:p>
    <w:p w:rsidR="00000000" w:rsidDel="00000000" w:rsidP="00000000" w:rsidRDefault="00000000" w:rsidRPr="00000000" w14:paraId="0000033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 52,1 Ml€</w:t>
      </w:r>
    </w:p>
    <w:p w:rsidR="00000000" w:rsidDel="00000000" w:rsidP="00000000" w:rsidRDefault="00000000" w:rsidRPr="00000000" w14:paraId="0000033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in esame non comporta oneri aggiuntivi rispetto alle ordinarie spese di funzionamento dell’Agenzia, in quanto le attività previste verranno svolte con le risorse umane e materiali esistenti.</w:t>
      </w:r>
    </w:p>
    <w:p w:rsidR="00000000" w:rsidDel="00000000" w:rsidP="00000000" w:rsidRDefault="00000000" w:rsidRPr="00000000" w14:paraId="0000033A">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comma 2</w:t>
      </w:r>
    </w:p>
    <w:p w:rsidR="00000000" w:rsidDel="00000000" w:rsidP="00000000" w:rsidRDefault="00000000" w:rsidRPr="00000000" w14:paraId="0000033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possibile stimare dalla proroga un’entrata su base annua nell’ordine di 17 milioni di euro, considerando che attualmente sono operative n. 195 sale ad invarianza di costo per singola sala a titolo di </w:t>
      </w:r>
      <w:r w:rsidDel="00000000" w:rsidR="00000000" w:rsidRPr="00000000">
        <w:rPr>
          <w:rFonts w:ascii="Times New Roman" w:cs="Times New Roman" w:eastAsia="Times New Roman" w:hAnsi="Times New Roman"/>
          <w:i w:val="1"/>
          <w:sz w:val="24"/>
          <w:szCs w:val="24"/>
          <w:rtl w:val="0"/>
        </w:rPr>
        <w:t xml:space="preserve">una tantum</w:t>
      </w:r>
      <w:r w:rsidDel="00000000" w:rsidR="00000000" w:rsidRPr="00000000">
        <w:rPr>
          <w:rFonts w:ascii="Times New Roman" w:cs="Times New Roman" w:eastAsia="Times New Roman" w:hAnsi="Times New Roman"/>
          <w:sz w:val="24"/>
          <w:szCs w:val="24"/>
          <w:rtl w:val="0"/>
        </w:rPr>
        <w:t xml:space="preserve">, già previsto lo scorso anno, come da seguente quantificazione: </w:t>
      </w:r>
    </w:p>
    <w:p w:rsidR="00000000" w:rsidDel="00000000" w:rsidP="00000000" w:rsidRDefault="00000000" w:rsidRPr="00000000" w14:paraId="0000033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 x 90.000 = 17 Ml€</w:t>
      </w:r>
    </w:p>
    <w:p w:rsidR="00000000" w:rsidDel="00000000" w:rsidP="00000000" w:rsidRDefault="00000000" w:rsidRPr="00000000" w14:paraId="0000033F">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 17 Ml€</w:t>
      </w:r>
    </w:p>
    <w:p w:rsidR="00000000" w:rsidDel="00000000" w:rsidP="00000000" w:rsidRDefault="00000000" w:rsidRPr="00000000" w14:paraId="0000034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in esame non comporta oneri aggiuntivi rispetto alle ordinarie spese di funzionamento dell’Agenzia, in quanto le attività previste verranno svolte con le risorse umane e materiali esistenti.</w:t>
      </w:r>
    </w:p>
    <w:p w:rsidR="00000000" w:rsidDel="00000000" w:rsidP="00000000" w:rsidRDefault="00000000" w:rsidRPr="00000000" w14:paraId="0000034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26</w:t>
      </w:r>
    </w:p>
    <w:p w:rsidR="00000000" w:rsidDel="00000000" w:rsidP="00000000" w:rsidRDefault="00000000" w:rsidRPr="00000000" w14:paraId="0000034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Termine per la sostituzione degli apparecchi da gioco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4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Fermo restando quanto previsto dall’articolo 1, comma 1098, della legge 30 dicembre 2018, n. 145, all’articolo 1, comma 943, della legge 28 dicembre 2015, n. 208, come modificato dal citato comma 1098, le parole “dopo il 31 dicembre 2019” sono sostituite dalle seguenti: “decorsi nove mesi dalla data di pubblicazione del decreto del Ministro dell'economia e delle finanze di cui all’articolo 1, comma 569, lettera b), della legge 30 dicembre 2018, n. 145” e le parole “entro il 31 dicembre 2020” sono sostituite dalle seguenti: “entro i successivi dodici mesi”.</w:t>
      </w:r>
    </w:p>
    <w:p w:rsidR="00000000" w:rsidDel="00000000" w:rsidP="00000000" w:rsidRDefault="00000000" w:rsidRPr="00000000" w14:paraId="0000034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349">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 1 comma 943 della legge 28 dicembre 2015, n. 208 recita: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Con decreto del Ministro dell'economia e delle finanze è disciplinato il processo di evoluzione tecnologica degli apparecchi di cui all'articolo 110, comma 6, lettera a), del testo unico delle leggi di pubblica sicurezza, di cui al regio decreto 18 giugno 1931, n. 773. I nulla osta per gli apparecchi di cui al citato articolo 110, comma 6, lettera a), non possono più essere rilasciati dopo il 31 dicembre 2017; tali apparecchi devono essere dismessi entro il 31 dicembre 2019. A partire dal 1º gennaio 2017 possono essere rilasciati solo nulla osta per apparecchi che consentono il gioco pubblico da ambiente remoto, prevedendo la riduzione proporzionale, in misura non inferiore al 30 per cento, del numero dei nulla osta di esercizio relativi ad apparecchi attivi alla data del 31 luglio 2015, riferibili a ciascun concessionario. Le modalità di tale riduzione, anche tenuto conto della diffusione territoriale degli apparecchi, il costo dei nuovi nulla osta e le modalità, anche rateali, del relativo pagamento sono definiti con il citato decreto ministeriale”.</w:t>
      </w:r>
    </w:p>
    <w:p w:rsidR="00000000" w:rsidDel="00000000" w:rsidP="00000000" w:rsidRDefault="00000000" w:rsidRPr="00000000" w14:paraId="0000034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collegava la riduzione degli apparecchi (c.d. AWP) all’introduzione graduale nel mercato degli apparecchi di nuova generazione (con gioco da ambiente remoto, c.d. AWPR), stabilendo, in sostanza, che la riduzione del numero dei nulla osta avvenisse tra il 2017 e il 2019.</w:t>
      </w:r>
    </w:p>
    <w:p w:rsidR="00000000" w:rsidDel="00000000" w:rsidP="00000000" w:rsidRDefault="00000000" w:rsidRPr="00000000" w14:paraId="0000034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 6-bis del D.L. 24 aprile 2017, n. 50, convertito dalla legge 21 giugno 2017, n. 96, ha anticipato la riduzione degli apparecchi AWP, stabilendo che: “1. La riduzione del numero dei nulla osta di esercizio relativi agli apparecchi di cui all'articolo 110, comma 6, lettera a), del testo unico delle leggi di pubblica sicurezza, di cui al regio decreto 18 giugno 1931, n. 773, attivi alla data del 31 luglio 2015, prevista dall'articolo 1, comma 943, della legge 28 dicembre 2015, n. 208, è attuata, secondo le modalità indicate con decreto del Ministro dell'economia e delle finanze da emanare entro il 31 luglio 2017, nei seguenti termini: </w:t>
      </w:r>
    </w:p>
    <w:p w:rsidR="00000000" w:rsidDel="00000000" w:rsidP="00000000" w:rsidRDefault="00000000" w:rsidRPr="00000000" w14:paraId="0000034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alla data del 31 dicembre 2017 il numero complessivo dei nulla osta di esercizio non può essere superiore a 345.000; </w:t>
      </w:r>
    </w:p>
    <w:p w:rsidR="00000000" w:rsidDel="00000000" w:rsidP="00000000" w:rsidRDefault="00000000" w:rsidRPr="00000000" w14:paraId="0000034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alla data del 30 aprile 2018 il numero complessivo dei nulla osta di esercizio non può essere superiore a 265.000. </w:t>
      </w:r>
    </w:p>
    <w:p w:rsidR="00000000" w:rsidDel="00000000" w:rsidP="00000000" w:rsidRDefault="00000000" w:rsidRPr="00000000" w14:paraId="0000034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tal fine, i concessionari della rete telematica procedono, entro la data indicata alla lettera a) del comma 1, alla riduzione di almeno il 15 per cento del numero di nulla osta attivi ad essi riferibili alla data del 31 dicembre 2016 e alla riduzione sino al numero di cui alla lettera b) del medesimo comma 1, entro la data ivi indicata, in proporzione al numero dei nulla osta a ciascuno di essi riferibili alla predetta data del 31 dicembre 2016.”. </w:t>
      </w:r>
    </w:p>
    <w:p w:rsidR="00000000" w:rsidDel="00000000" w:rsidP="00000000" w:rsidRDefault="00000000" w:rsidRPr="00000000" w14:paraId="0000035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attuazione di tale disposizione, è stato adottato il Decreto del Ministro dell’economia e delle finanze 25 luglio 2017 (Gazzetta Ufficiale n. 204 del 1 settembre 2017), recante le modalità di riduzione del numero dei nulla osta degli apparecchi da divertimento e intrattenimento.</w:t>
      </w:r>
    </w:p>
    <w:p w:rsidR="00000000" w:rsidDel="00000000" w:rsidP="00000000" w:rsidRDefault="00000000" w:rsidRPr="00000000" w14:paraId="0000035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tale ultimo decreto è stata data, quindi, attuazione, per quanto riguarda i contenuti dell’art. 1 comma 943 della legge n. 208/2015, esclusivamente alla parte relativa alla riduzione del numero di AWP, anticipandola nei tempi di conclusione e aumentandone la portata ad una percentuale pari al 34,9% (rispetto all’iniziale 30%).</w:t>
      </w:r>
    </w:p>
    <w:p w:rsidR="00000000" w:rsidDel="00000000" w:rsidP="00000000" w:rsidRDefault="00000000" w:rsidRPr="00000000" w14:paraId="0000035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ha trovato attuazione la parte dell’articolo relativa alla introduzione graduale nel mercato di nuovi modelli di apparecchi di cui all’articolo 110 comma 6 lett. a) con gioco da ambiente remoto -AWPR. Sulla materia è poi intervenuta la legge 145/2018 che, con l’art. 1, comma 1098, ha di fatto differito al 1° gennaio 2020 l’entrata in funzione degli apparecchi con controllo del gioco da remoto, fissando al 31 dicembre 2019 la data a partire dalla quale non sarebbe stato più possibile rilasciare nulla osta per gli apparecchi di “vecchia generazione” AWP e individuando al 31 dicembre 2020 il termine ultimo per la dismissione degli apparecchi AWP.</w:t>
      </w:r>
    </w:p>
    <w:p w:rsidR="00000000" w:rsidDel="00000000" w:rsidP="00000000" w:rsidRDefault="00000000" w:rsidRPr="00000000" w14:paraId="0000035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L’immissione nel mercato della nuova tipologia di apparecchi AWPR presuppone l’adozione di un decreto ministeriale contenente le regole tecniche di produzione, il cui </w:t>
      </w:r>
      <w:r w:rsidDel="00000000" w:rsidR="00000000" w:rsidRPr="00000000">
        <w:rPr>
          <w:rFonts w:ascii="Times New Roman" w:cs="Times New Roman" w:eastAsia="Times New Roman" w:hAnsi="Times New Roman"/>
          <w:i w:val="1"/>
          <w:sz w:val="24"/>
          <w:szCs w:val="24"/>
          <w:rtl w:val="0"/>
        </w:rPr>
        <w:t xml:space="preserve">iter </w:t>
      </w:r>
      <w:r w:rsidDel="00000000" w:rsidR="00000000" w:rsidRPr="00000000">
        <w:rPr>
          <w:rFonts w:ascii="Times New Roman" w:cs="Times New Roman" w:eastAsia="Times New Roman" w:hAnsi="Times New Roman"/>
          <w:sz w:val="24"/>
          <w:szCs w:val="24"/>
          <w:rtl w:val="0"/>
        </w:rPr>
        <w:t xml:space="preserve">(che prevede, tra l’altro, la notifica agli Organismi unionali ed un periodo minimo di </w:t>
      </w:r>
      <w:r w:rsidDel="00000000" w:rsidR="00000000" w:rsidRPr="00000000">
        <w:rPr>
          <w:rFonts w:ascii="Times New Roman" w:cs="Times New Roman" w:eastAsia="Times New Roman" w:hAnsi="Times New Roman"/>
          <w:i w:val="1"/>
          <w:sz w:val="24"/>
          <w:szCs w:val="24"/>
          <w:rtl w:val="0"/>
        </w:rPr>
        <w:t xml:space="preserve">stand still</w:t>
      </w:r>
      <w:r w:rsidDel="00000000" w:rsidR="00000000" w:rsidRPr="00000000">
        <w:rPr>
          <w:rFonts w:ascii="Times New Roman" w:cs="Times New Roman" w:eastAsia="Times New Roman" w:hAnsi="Times New Roman"/>
          <w:sz w:val="24"/>
          <w:szCs w:val="24"/>
          <w:rtl w:val="0"/>
        </w:rPr>
        <w:t xml:space="preserve"> di 90 giorni dalla notifica) non si è ancora concluso. Si rende pertanto necessario posporre la data di entrata in funzione degli apparecchi con controllo del gioco da remoto fissando un termine che tiene conto della tempistica stimata per la produzione delle nuove macchine (7/8 mesi).</w:t>
      </w:r>
    </w:p>
    <w:p w:rsidR="00000000" w:rsidDel="00000000" w:rsidP="00000000" w:rsidRDefault="00000000" w:rsidRPr="00000000" w14:paraId="0000035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che si propone fissa, quindi, al nono mese successivo alla data di pubblicazione del decreto ministeriale citato la data a partire dalla quale non sarà più possibile rilasciare nulla osta per gli apparecchi di “vecchia generazione” (AWP) e al dodicesimo mese successivo alla medesima data di pubblicazione il termine ultimo per la dismissione dei menzionati apparecchi AWP.</w:t>
      </w:r>
    </w:p>
    <w:p w:rsidR="00000000" w:rsidDel="00000000" w:rsidP="00000000" w:rsidRDefault="00000000" w:rsidRPr="00000000" w14:paraId="0000035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nuova tipologia di apparecchi AWPR conterrà alcune innovazioni tecnologiche finalizzate alla prevenzione del gioco patologico e di quello minorile, quali, ad esempio, l’obbligo di introduzione della tessera sanitaria, la possibilità di definire preventivamente un limite di importo da giocare e/o un tempo massimo di utilizzo, la visualizzazione di messaggi con i quali si segnala al giocatore il superamento della soglia relativa all’importo giocato, l’obbligo di esposizione, su ciascun apparecchio, delle indicazioni del costo della partita e delle regole del gioco, messaggi ed avvisi finalizzati al “gioco responsabile”, l’autorizzazione del gioco solo da remoto. </w:t>
      </w:r>
    </w:p>
    <w:p w:rsidR="00000000" w:rsidDel="00000000" w:rsidP="00000000" w:rsidRDefault="00000000" w:rsidRPr="00000000" w14:paraId="0000035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5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358">
      <w:pPr>
        <w:spacing w:after="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La disposizione, non avendo alcun effetto economico, non ha oneri a carico del bilancio dello Stato.</w:t>
      </w:r>
      <w:r w:rsidDel="00000000" w:rsidR="00000000" w:rsidRPr="00000000">
        <w:rPr>
          <w:rFonts w:ascii="Times New Roman" w:cs="Times New Roman" w:eastAsia="Times New Roman" w:hAnsi="Times New Roman"/>
          <w:strike w:val="1"/>
          <w:sz w:val="24"/>
          <w:szCs w:val="24"/>
          <w:rtl w:val="0"/>
        </w:rPr>
        <w:t xml:space="preserve"> </w:t>
      </w:r>
    </w:p>
    <w:p w:rsidR="00000000" w:rsidDel="00000000" w:rsidP="00000000" w:rsidRDefault="00000000" w:rsidRPr="00000000" w14:paraId="0000035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in esame non comporta oneri aggiuntivi rispetto alle ordinarie spese di funzionamento dell’Agenzia, in quanto le attività previste verranno svolte con le risorse umane e materiali esistenti.</w:t>
      </w:r>
    </w:p>
    <w:p w:rsidR="00000000" w:rsidDel="00000000" w:rsidP="00000000" w:rsidRDefault="00000000" w:rsidRPr="00000000" w14:paraId="0000035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27</w:t>
      </w:r>
    </w:p>
    <w:p w:rsidR="00000000" w:rsidDel="00000000" w:rsidP="00000000" w:rsidRDefault="00000000" w:rsidRPr="00000000" w14:paraId="0000035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Prelievo sulle vincite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5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 decorrere dal 1° maggio 2020 il prelievo sulle vincite, di cui all'articolo 5, comma 1, lettera a) e dall'articolo 6 del decreto del direttore generale dell'Amministrazione autonoma dei monopoli di Stato 12 ottobre 2011, pubblicato nella Gazzetta Ufficiale della Repubblica italiana n. 265 del 14 novembre 2011, richiamato nell'articolo 10, comma 9, del decreto-legge 2 marzo 2012, n. 16, convertito, con modificazioni, dalla legge 26 aprile 2012, n. 44 è determinato applicando alla vincita le seguenti aliquote per scaglioni: </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oltre 500 euro e fino a 1.000 euro, 15 per cento;</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oltre 1.000 euro e fino a 10.000 euro, 18 per cento;</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oltre 10.000 euro e fino a 50.000 euro, 21 per cento;</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oltre 50.000 euro e fino a 10.000.000 euro, 23 per cento;</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oltre 10.000.000 euro, 25 per cento.</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All’articolo 6, comma 2, del decreto del direttore generale dell'Amministrazione autonoma dei monopoli di Stato 12 ottobre 2011, pubblicato nella Gazzetta Ufficiale della Repubblica italiana n. 265 del 14 novembre 2011, richiamato nell'articolo 10, comma 9, del decreto-legge 2 marzo 2012, n. 16, convertito, con modificazioni, dalla legge 26 aprile 2012, n. 44 le parole “90 per cento” sono sostituite dalle parole “95 per cento”, conseguentemente, alla lettera b) le parole “10 per cento” sono sostituite dalle parole “5 per cento”.</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Relazione illustrativa</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norma proposta prevede un aumento del prelievo sulle vincite conseguite dal gioco mediante gli apparecchi di cui all’articolo 110, comma 6, lettera b) del TULPS (VLT), le lotterie nazionali ad estrazione istantanea (Gratta&amp;Vinci) ed i giochi numerici a totalizzatore nazionale (GNTN), che oggi si applica  alla parte delle vincite superiori ad euro 500, nella misura fissa del 12%, introducendo nel contempo un sistema di tassazione per scaglioni con aliquote crescenti.</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norma individua in particolare 5 scaglioni di vincita a partire dalla soglia attuale di 500 euro, da tassare applicando aliquote crescenti (dal 15% al 25%) secondo quanto riportato di seguito.</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6663.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1706"/>
        <w:tblGridChange w:id="0">
          <w:tblGrid>
            <w:gridCol w:w="4957"/>
            <w:gridCol w:w="1706"/>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Vincite sup. 500 euro a 1.000 euro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ind w:left="32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trHeight w:val="4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Vincite sup. 1.000 euro a 10.000 euro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ind w:left="32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r>
        <w:trPr>
          <w:trHeight w:val="4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Vincite sup. 10.000 euro a 50.000 euro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ind w:left="32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r>
      <w:tr>
        <w:trPr>
          <w:trHeight w:val="4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Vincite sup. 50.000 euro a 10.000.000 euro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ind w:left="32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r>
      <w:tr>
        <w:trPr>
          <w:trHeight w:val="4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Vincite oltre 10.000.000 euro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ind w:left="32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bl>
    <w:p w:rsidR="00000000" w:rsidDel="00000000" w:rsidP="00000000" w:rsidRDefault="00000000" w:rsidRPr="00000000" w14:paraId="00000376">
      <w:pPr>
        <w:spacing w:after="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Dalla norma restano esclusi i giochi numerici a quota fissa (Lotto, 10&amp;Lotto e Millionday) in quanto le aliquote previste per le vincite relative a tali giochi (peraltro, quella del 10&amp;Lotto è aumentata con il D.L. n. 4/2019) trovano applicazione per qualsiasi importo, contribuendo al gettito totale di questo prelievo per circa il 70%. </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comma 2 interviene sulla previsione recata dall'articolo 6 del decreto del direttore generale dell'Amministrazione autonoma dei monopoli di Stato 12 ottobre 2011, pubblicato nella Gazzetta Ufficiale della Repubblica italiana n. 265 del 14 novembre 2011, richiamato nell'articolo 10, comma 9, del decreto-legge 2 marzo 2012, n. 16, convertito, con modificazioni, dalla legge 26 aprile 2012, n. 44, che destina il 5% del prelievo sulla vincita dei giochi SuperEnalotto e Superstar ad un fondo utilizzato per integrare il montepremi relativo alle vincite di quarta e quinta categoria dell'Enalotto. La rimodulazione si rende opportuna per effetto dell’incremento delle aliquote applicabili alle diverse categorie di vincita.</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decorrenza della norma è fissata al 1° maggio 2020 per consentire i necessari adeguamenti tecnologici dei sistemi di gioco.</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Relazione tecnica</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l’anno 2018 il totale del prelievo sulle vincite superiori ad euro 500 relativo a VLT, Gratta&amp;Vinci e GNTN ammonta a circa 200 Ml€. Pertanto, l’aumento dell’aliquota del 3% (dal 12% al 15%) comporta un maggior introito stimato di euro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 Ml€.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quanto attiene alla categoria dei GNTN, considerando il numero delle vincite del jackpot Superenalotto - che, sulla base dei dati storici, è pari a circa 150 Ml€/annui - troverebbe applicazione l’aliquota massima del 25%. Tenuto conto della progressività dell’imposta e che l’aliquota del 25% si applica alla parte di vincita oltre ai 10 Ml€, la norma comporta un maggior introito di almeno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Ml€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(senza tenere conto del maggior introito che scaturisce dall’applicazione delle aliquote intermedie). </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vincite in materia di GNTN superiori ad 1 milione, diverse dal jackpot, sulla base dei dati storici e secondo un criterio prudenziale, possono stimarsi pari ad ammontare annuo di 5 Ml€. Poiché l’aliquota prevista per tale categorie di vincite è quella del 23%, superiore di 8 punti percentuali rispetto a quella base, si avrebbe un maggior introiti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 Ml€.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vincite del Gratta&amp;Vinci superiori a 10.000 euro nel 2018 sono state circa 216 Ml€. Rispetto all’aliquota minima del 15%, applicando la nuova aliquota del 21%, si avrebbe un maggior introito stimato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Ml€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(216 x 6%).</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quanto riguarda le vincite dei GNTN e dei Gratta&amp;Vinci, comprese tra 1.000 e 10.000 euro, si osserva che l’aliquota prevista è quella del 18%, superiore di 3 punti percentuali a quella del 15%. Assumendo in via prudenziale che le vincite superiori a 1.000 euro siano il 30% di quelle superiori a 500 euro e applicando ad esse la percentuale del 18% (più bassa di quella media) si ottiene un maggior introito stimato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Ml€.</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quanto riguarda il comparto delle VLT, le cui vincite in forma di jackpot vanno da un minimo di 5.000 euro ad un massimo di 500.000 euro, si evidenzia che nel 2018, in riduzione rispetto ai precedenti anni, sono stati vinti circa 50 Ml€. Sulla base della proposta in esame, le vincite realizzate sarebbero tassate, a seconda dell’importo, con aliquota dal 18% al 21%. Assumendo l’aliquota del 19% (più bassa di quella media), superiore di 4 punti rispetto a quella del 15%, si stima un maggior introito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Ml€.</w:t>
      </w: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Totale generale: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93,6 Ml€.</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decorrenza della norma è fissata al 1° maggio 2020 per consentire i necessari adeguamenti tecnologici dei sistemi di gioco. Pertanto, per tale anno, l’introito stimato è pari a 43,2 Ml€</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 55 Ml€</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 e ss: 82,6 Ml€</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240" w:before="0" w:line="3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disposizione non comporta oneri aggiuntivi a carico del bilancio dello Stato. L’Agenzia provvede agli adempimenti connessi all’attuazione con le risorse umane, strumentali e finanziarie disponibili a legislazione vigente.</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38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28</w:t>
      </w:r>
    </w:p>
    <w:p w:rsidR="00000000" w:rsidDel="00000000" w:rsidP="00000000" w:rsidRDefault="00000000" w:rsidRPr="00000000" w14:paraId="0000038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Registro unico degli operatori del gioco pubblico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8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Al fine di contrastare le infiltrazioni della criminalità organizzata nel settore dei giochi e la diffusione del gioco illegale, nonché di perseguire un razionale assetto sul territorio dell’offerta di gioco pubblico, presso l’Agenzia delle dogane e dei monopoli è istituito, a decorrere dall’esercizio 2020, il Registro unico degli operatori del gioco pubblico.</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L'iscrizione al Registro costituisce titolo abilitativo per i soggetti che svolgono attività in materia di gioco pubblico ed è obbligatoria anche per i soggetti già titolari, alla data di entrata in vigore della presente norma, dei diritti e dei rapporti in esso previsti.</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Devono iscriversi al Registro le seguenti categorie di operatori:</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 soggetti</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produttori;</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proprietari;</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possessori ovvero detentori a qualsiasi titolo</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degli apparecchi e terminali di cui all'articolo 110, comma 6, lettere a) e b), del testo unico di cui al regio decreto 18 giugno 1931, n. 773, per i quali la predetta Amministrazione rilascia, rispettivamente, il nulla osta di cui all'articolo 38, comma 5, della legge 23 dicembre 2000, n. 388, e il codice identificativo univoco di cui al decreto del Direttore generale dell'Amministrazione autonoma dei monopoli di Stato 22 gennaio 2010, pubblicato nella Gazzetta Ufficiale n. 32 del 9 febbraio 2010;</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 concessionari per la gestione della rete telematica degli apparecchi e terminali da intrattenimento che siano altresì proprietari degli apparecchi e terminali di cui all'articolo 110, comma 6, lettere a) e b), del testo unico di cui al regio decreto 18 giugno 1931, n. 773, e successive modificazioni;</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 soggetti</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produttori;</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proprietari;</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possessori ovvero detentori a qualsiasi titolo degli apparecchi di cui all’articolo 110, comma 7, lettere a), c), c-bis) e c-ter) del regio decreto 18 giugno 1931, n. 773 e successive modificazioni;</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 concessionari del gioco del Bingo;</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i concessionari di scommesse su eventi ippici, sportivi e non sportivi e su eventi simulati;</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i titolari di punti vendita dove si accettano scommesse su eventi ippici, sportivi e non sportivi, su eventi simulati e concorsi pronostici sportivi, nonché i titolari dei punti per la raccolta scommesse che si sono regolarizzati ai sensi dell’articolo 1, comma 643, della legge 23 dicembre 2014, n. 190 e dell’articolo 1, comma 926 della legge 28 dicembre 2015, n. 208 e i titolari dei punti di raccolta ad essi collegati; </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i concessionari dei giochi numerici a quota fissa e a totalizzatore;</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i titolari dei punti di vendita delle lotterie istantanee e dei giochi numerici a quota fissa e a totalizzatore;</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i concessionari del gioco a distanza;</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i titolari dei punti di ricarica dei conti di gioco a distanza;</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i produttori delle piattaforme dei giochi a distanza e di piattaforme per eventi simulati;</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le società di corse che gestiscono gli ippodromi;</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gli allibratori;</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ogni altro soggetto non ricompreso fra quelli di cui al presente comma che svolge, sulla base di rapporti contrattuali continuativi con i soggetti di cui al comma medesimo, qualsiasi altra attività funzionale o collegata alla raccolta del gioco, individuato con provvedimento del direttore dell’agenzia delle dogane e dei monopoli, che ne fissa anche l’importo, in coerenza con quanto previsto dal comma 4, in relazione alle categorie di soggetti di cui al presente comma.</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L’iscrizione al Registro è disposta dall’Agenzia delle dogane e dei monopoli previa verifica del possesso, da parte dei richiedenti, delle licenze di Pubblica sicurezza di cui agli articoli 86 e 88 del regio decreto 18 giugno 1931, n. 773, delle autorizzazioni e concessioni necessarie ai sensi delle specifiche normative di settore e della certificazione antimafia prevista dalla disciplina vigente, nonché dell'avvenuto versamento, da parte dei medesimi, di una somma annua pari a: </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euro 200,00 per i soggetti di cui al comma 3, lettere a), numero 3), c), numero 3), f), h), l);</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euro 500,00 per i soggetti di cui al comma 3, lettere a), numero 2), c) numero 2), o);</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euro 2.500,00 per i soggetti di cui al comma 3, lettere a), numero 1), c) numero 1) ed m);</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euro 3.000 per i soggetti di cui al comma 3, lettere e) ed n) ed euro 10.000,00 per i soggetti di cui al comma 3, lettere b), d), g) ed i).</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soggetti che operano in più ambiti di gioco sono tenuti al versamento di una sola somma d’iscrizione. I soggetti che svolgono più ruoli nell’ambito della filiera del gioco sono tenuti al versamento della somma più alta fra quelle previste per le categorie in cui operano.</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L’iscrizione al Registro deve essere rinnovata annualmente.</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L’omesso versamento della somma di cui al comma 4 può essere regolarizzato, prima che la violazione sia accertata, con il versamento di un importo pari alla somma dovuta maggiorata di un importo pari al 2 per cento per ogni mese o frazione di mese di ritardo.</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Con determinazione del Direttore dell’Agenzia delle dogane e dei monopoli sono stabilite tutte le disposizioni applicative, eventualmente anche di natura transitoria, relative alla tenuta del Registro, all'iscrizione ovvero alla cancellazione dallo stesso, nonché ai tempi e alle modalità di effettuazione del versamento di cui al comma 4.</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L’esercizio di qualsiasi attività funzionale alla raccolta di gioco in assenza di iscrizione al Registro di cui al comma 1 comporta l’applicazione di una sanzione amministrativa di euro 10.000,00 e l’impossibilità di iscriversi al Registro per i successivi 5 anni.</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I concessionari di gioco pubblico non possono intrattenere rapporti contrattuali funzionali all'esercizio delle attività di gioco con soggetti diversi da quelli iscritti nel Registro. In caso di violazione del divieto è dovuta la sanzione amministrativa pecuniaria di euro 10.000,00 e il rapporto contrattuale è risolto di diritto. La terza reiterazione, anche non consecutiva, della medesima violazione nell'arco di un biennio determina la revoca della concessione.</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A decorrere dall’effettiva entrata in vigore del Registro di cui al comma 1 l’elenco di cui all’articolo 1, comma 533, della legge 23 dicembre 2005, n. 266, come modificato dall’articolo 1, comma 82, della legge 13 dicembre 2010, n. 220 è abrogato.</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norma estende l’obbligo di iscrizione in un registro pubblico, già previsto per gli operatori del settore degli apparecchi da gioco con vincita in denaro (c.d. “Albo R.I.E.S.”), a tutti gli operatori di gioco pubblico. Tale esenzione renderà ancor più efficace il presidio dell’Agenzia sul comparto dei giochi pubblici e contribuirà a fornire un quadro di maggior dettaglio sulla distribuzione, anche territoriale, di tutti i soggetti coinvolti nella filiera dell’offerta di gioco pubblico.</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 </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fini dell’iscrizione all’elenco, l’Agenzia dovrà verificare per ogni richiedente il possesso delle licenze di Pubblica sicurezza, delle autorizzazioni e delle concessioni richieste dalle normative di settore, della certificazione antimafia, nonché dell'avvenuto versamento della somma prevista per la propria categoria. </w:t>
      </w: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L’esercizio di qualunque attività di gioco, in mancanza dell’iscrizione all’elenco è punita con una sanzione pecuniaria di 10.000 euro e con l’impossibilità di iscriversi all’elenco per i 5 anni successivi. La stessa sanzione pecuniaria è applicata al Concessionario che intrattenesse rapporti contrattuali funzionali all’esercizio delle attività di gioco con soggetti diversi da quelli iscritti nel Registro e, nel caso di reiterazione di tale comportamento per tre volte è prevista la decadenza dalla Concessione.</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Stimando che nel settore operano circa 115.000 operatori, di cui circa 60.000 già iscritti al R.I.E.S. (i cui costi annuali di iscrizione ammontano oggi a 150 euro), le maggiori entrate derivanti dalla norma sono quantificabili nell’ordine di 27,4 milioni di euro all’anno, considerando i costi annuali di iscrizione differenziati e crescenti a seconda dell’appartenenza dell’operatore ad una delle 4 grandi macrocategorie (corrispondenti alle 4 lettere di cui al comma 4): esercenti, gestori, produttori, concessionari. La stima è stata effettuata prudenzialmente considerando che circa il 50% degli esercenti e circa il 30% delle altre categorie operano in più ambiti di gioco e, quindi, sono tenuti al pagamento di una sola quota di iscrizione.</w:t>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1"/>
        <w:gridCol w:w="2775"/>
        <w:gridCol w:w="2284"/>
        <w:gridCol w:w="2268"/>
        <w:tblGridChange w:id="0">
          <w:tblGrid>
            <w:gridCol w:w="2301"/>
            <w:gridCol w:w="2775"/>
            <w:gridCol w:w="2284"/>
            <w:gridCol w:w="2268"/>
          </w:tblGrid>
        </w:tblGridChange>
      </w:tblGrid>
      <w:tr>
        <w:tc>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Categorie</w:t>
            </w:r>
          </w:p>
        </w:tc>
        <w:tc>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Numeri</w:t>
            </w:r>
          </w:p>
        </w:tc>
        <w:tc>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Quota di iscrizione (€)</w:t>
            </w:r>
          </w:p>
        </w:tc>
        <w:tc>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Stima (Ml€)</w:t>
            </w:r>
          </w:p>
        </w:tc>
      </w:tr>
      <w:tr>
        <w:tc>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Esercenti</w:t>
            </w:r>
          </w:p>
        </w:tc>
        <w:tc>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108.000</w:t>
            </w:r>
          </w:p>
        </w:tc>
        <w:tc>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w:t>
            </w:r>
          </w:p>
        </w:tc>
        <w:tc>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w:t>
            </w:r>
          </w:p>
        </w:tc>
      </w:tr>
      <w:tr>
        <w:tc>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Gestori</w:t>
            </w:r>
          </w:p>
        </w:tc>
        <w:tc>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6.000</w:t>
            </w:r>
          </w:p>
        </w:tc>
        <w:tc>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w:t>
            </w:r>
          </w:p>
        </w:tc>
        <w:tc>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Produttori</w:t>
            </w:r>
          </w:p>
        </w:tc>
        <w:tc>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w:t>
            </w:r>
          </w:p>
        </w:tc>
        <w:tc>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2.500</w:t>
            </w:r>
          </w:p>
        </w:tc>
        <w:tc>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w:t>
            </w:r>
          </w:p>
        </w:tc>
      </w:tr>
      <w:tr>
        <w:tc>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Concessionari scommesse</w:t>
            </w:r>
          </w:p>
        </w:tc>
        <w:tc>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w:t>
            </w:r>
          </w:p>
        </w:tc>
        <w:tc>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3.000</w:t>
            </w:r>
          </w:p>
        </w:tc>
        <w:tc>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w:t>
            </w:r>
          </w:p>
        </w:tc>
      </w:tr>
      <w:tr>
        <w:tc>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Concessionari </w:t>
            </w:r>
          </w:p>
        </w:tc>
        <w:tc>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w:t>
            </w:r>
          </w:p>
        </w:tc>
        <w:tc>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w:t>
            </w:r>
          </w:p>
        </w:tc>
        <w:tc>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r>
      <w:tr>
        <w:tc>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Totali</w:t>
            </w:r>
          </w:p>
        </w:tc>
        <w:tc>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27,4</w:t>
            </w:r>
          </w:p>
        </w:tc>
      </w:tr>
    </w:tbl>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disposizione prevede inoltre al comma 6 una forma di “ravvedimento operoso” da parte del soggetto che regolarizzi il versamento della quota annuale dovuta per l’iscrizione nel registro unico degli operatori di gioco. Dal punto di vista finanziario, non si ritiene di collegare a tale previsione alcun incremento del gettito.</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 e ss.: 27,4 Ml€</w:t>
      </w:r>
    </w:p>
    <w:p w:rsidR="00000000" w:rsidDel="00000000" w:rsidP="00000000" w:rsidRDefault="00000000" w:rsidRPr="00000000" w14:paraId="000003D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in esame non comporta oneri aggiuntivi rispetto alle ordinarie spese di funzionamento dell’Agenzia, in quanto le attività previste verranno svolte con le risorse umane e materiali esistenti.</w:t>
      </w:r>
    </w:p>
    <w:p w:rsidR="00000000" w:rsidDel="00000000" w:rsidP="00000000" w:rsidRDefault="00000000" w:rsidRPr="00000000" w14:paraId="000003D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29</w:t>
      </w:r>
    </w:p>
    <w:p w:rsidR="00000000" w:rsidDel="00000000" w:rsidP="00000000" w:rsidRDefault="00000000" w:rsidRPr="00000000" w14:paraId="000003D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Blocco dei pagamenti a soggetti senza concessione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D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 fine di rendere maggiormente tracciabili i flussi di pagamento, di contrastare l’evasione fiscale e le infiltrazioni della criminalità organizzata, le società emittenti carte di credito, gli operatori bancari, finanziari e postali non possono procedere al trasferimento di denaro a favore di soggetti che offrono nel territorio dello Stato, attraverso reti telematiche o di telecomunicazione, giochi, scommesse o concorsi pronostici con vincite in denaro in difetto di concessione, autorizzazione, licenza od altro titolo autorizzatorio o abilitativo o, comunque, in violazione delle norme di legge o di regolamento o delle prescrizioni definite dall’Agenzia delle dogane e dei monopoli. L'inosservanza dell'obbligo di cui al presente articolo comporta l'irrogazione, alle società emittenti carte di credito, agli operatori bancari, finanziari e postali, di sanzioni amministrative pecuniarie da trecentomila ad un milione e trecentomila euro per ciascuna violazione accertata. La competenza all'applicazione della sanzione prevista nel presente articolo è dell'ufficio dell'Agenzia delle dogane e dei monopoli dove ha sede il domicilio fiscale del trasgressore. Con uno o più provvedimenti interdirigenziali del Ministero dell'economia e delle finanze - Dipartimento del tesoro e dell'Agenzia delle dogane e dei monopoli sono stabilite le modalità attuative delle disposizioni di cui al presente articolo e la relativa decorrenza. I commi da 29 a 31 dell’articolo 24 del decreto legge 6 luglio 2011, n. 98, convertito, con modificazioni, dalla legge 15 luglio 2011, n. 111, sono abrogati.</w:t>
      </w:r>
    </w:p>
    <w:p w:rsidR="00000000" w:rsidDel="00000000" w:rsidP="00000000" w:rsidRDefault="00000000" w:rsidRPr="00000000" w14:paraId="000003E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L’articolo introduce il divieto, per gli operatori bancari, per i soggetti emittenti carte di credito e per gli operatori finanziari e postali, di procedere alle operazioni di trasferimento di denaro a favore di soggetti che raccolgono gioco in Italia, attraverso reti telematiche o di telecomunicazione, in mancanza di concessione o, comunque, di qualsiasi altro titolo abilitativo richiesto all’esercizio di tale attività. La sanzione amministrativa pecuniaria prevista dalla norma a carico degli operatori finanziari in caso di violazione dell’obbligo di trasferimento di denaro varia da trecentomila a un milione e trecentomila euro, per ogni singola violazione accertata. Le modalità attuative della norma sono rinviate a un provvedimento inter dirigenziale del Dipartimento del tesoro e dell’Agenzia delle dogane e dei monopoli. La disposizione sostituisce i commi 29, 30 e 31 dell’articolo 24 del decreto legge 6 luglio 2011, n. 98, che prevedono in capo agli operatori finanziari un semplice onere di segnalazione all’Agenzia degli elementi identificativi di coloro che dispongono trasferimenti di denaro a favore di soggetti, che offrono nel territorio dello Stato, attraverso reti telematiche o di telecomunicazione, giochi, scommesse o concorsi pronostici con vincite in denaro in difetto di concessione, autorizzazione, licenza od altro titolo autorizzatorio o abilitativo o, comunque, in violazione delle norme di legge o di regolamento o delle prescrizioni definite dall’Agenzia per l’esercizio delle attività di gioco pubblico.</w:t>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3E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in esame, impedendo il trasferimento di somme verso operatori che offrono gioco in Italia senza concessione e, comunque, in violazione delle norme del nostro ordinamento e, quindi, in completa evasione d’imposta, comporterà che il gioco venga canalizzato verso operatori legali, le cui operazioni sono tutte tracciate dall’Agenzia, con fedele dichiarazione delle relative basi imponibili. </w:t>
      </w:r>
    </w:p>
    <w:p w:rsidR="00000000" w:rsidDel="00000000" w:rsidP="00000000" w:rsidRDefault="00000000" w:rsidRPr="00000000" w14:paraId="000003E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Ipotizzando prudenzialmente un incremento della base imponibile relativa al gioco a distanza (pari ad oltre 900 ML€ per il 2019) del 5%, scaturirebbe una maggiore base imponibile di 45 Ml€ (900 x 5%), per una maggiore imposta stimata di almeno 10 Ml€.</w:t>
      </w:r>
    </w:p>
    <w:p w:rsidR="00000000" w:rsidDel="00000000" w:rsidP="00000000" w:rsidRDefault="00000000" w:rsidRPr="00000000" w14:paraId="000003E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Considerando che dovranno essere adottati provvedimenti attuativi, è ragionevole ritenere che per il 2020 il maggior gettito stimato sia pari a 2,5 Ml€, cioè un quarto di quello annualmente previsto.</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 e ss.: 2,5 Ml€</w:t>
      </w:r>
    </w:p>
    <w:p w:rsidR="00000000" w:rsidDel="00000000" w:rsidP="00000000" w:rsidRDefault="00000000" w:rsidRPr="00000000" w14:paraId="000003E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 e ss.: 10 Ml€</w:t>
      </w:r>
    </w:p>
    <w:p w:rsidR="00000000" w:rsidDel="00000000" w:rsidP="00000000" w:rsidRDefault="00000000" w:rsidRPr="00000000" w14:paraId="000003E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in esame non comporta oneri aggiuntivi rispetto alle ordinarie spese di funzionamento dell’Agenzia, in quanto le attività previste verranno svolte con le risorse umane e materiali esistenti.</w:t>
      </w:r>
    </w:p>
    <w:p w:rsidR="00000000" w:rsidDel="00000000" w:rsidP="00000000" w:rsidRDefault="00000000" w:rsidRPr="00000000" w14:paraId="000003E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30</w:t>
      </w:r>
    </w:p>
    <w:p w:rsidR="00000000" w:rsidDel="00000000" w:rsidP="00000000" w:rsidRDefault="00000000" w:rsidRPr="00000000" w14:paraId="000003F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Agente sotto copertura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fine di prevenire il gioco da parte dei minori ed impedire l’esercizio abusivo del gioco con vincita in denaro, contrastare l’evasione fiscale e l’uso di pratiche illegali in elusione del monopolio pubblico del gioco, l'Agenzia delle dogane e dei monopoli è autorizzata a costituire, avvalendosi di risorse proprie, un fondo destinato alle operazioni di gioco a fini di controllo, di importo non superiore a 100.000 euro annui. Con provvedimento del Direttore dell’Agenzia è costituito il fondo e disciplinato il relativo utilizzo. Il personale appartenente all'Agenzia delle dogane e dei monopoli è autorizzato ad effettuare operazioni di gioco presso locali in cui si effettuano scommesse o sono installati apparecchi di cui all'articolo 110, comma 6, lettera a) e b), del regio decreto 18 giugno 1931, n. 773, al solo fine di acquisire elementi di prova in ordine alle eventuali violazioni in materia di gioco pubblico, ivi comprese quelle relative al divieto di gioco dei minori. Per effettuare le medesime operazioni di gioco, la disposizione del precedente periodo si applica altresì alla Polizia di Stato, al Corpo della Guardia di finanza e all’Arma del carabinieri, ciascuna delle quali, ai fini dell'utilizzo del fondo previsto dal presente comma, agisce previo concerto con le competenti strutture dell'Agenzia delle dogane e dei monopoli. Con provvedimento del Direttore dell’Agenzia delle dogane e dei monopoli sono previste le disposizioni attuative e contabili per l’utilizzo del fondo di cui al primo periodo, stabilendo che le eventuali vincite conseguite dal predetto personale nell'esercizio delle attività di cui al presente articolo siano riversate al fondo medesimo. Conseguentemente, l’articolo 10, comma 1, del decreto-legge 2 marzo 2012, n. 16, convertito, con modificazioni, dalla legge 26 aprile 2012, n. 44, è abrogato.</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Sulla base delle indagini svolte dalla magistratura e dalla forze di polizia si è appurato che molte violazioni in materia di gioco, ivi comprese quelle che riguardano la violazione del divieto di gioco per i minori di anni 18, avvengono utilizzando procedure ed accorgimenti tecnici, di cui è difficoltoso l’accertamento o molto complesse le procedure tecniche per risalire alle modalità illecite con cui le violazioni cono perpetrate. Ad esempio, sono diffusi sul territorio apparecchi illegali posti in pubblici esercizi che, apparentemente, servono per erogare servizi come ricariche telefoniche ed altro, ma che, mediante comandi elettronici, vengono “convertiti” in videopoker o slot machine illegali. Oppure, è stato appurato che talune agenzie di scommesse, anche se collegate a bookmaker in possesso di concessione, offrono “in nero” scommesse mediante collegamento telematico con altri bookmaker illegali, situati al di fuori del territorio dello Stato.</w:t>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Violazioni di questo tipo possono essere meglio accertate mediante la possibilità, per gli appartenenti all’Agenzia delle entrate e alle forze di polizia, di effettuare giocate celando la propria identità. </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disposizione, quindi, autorizza l’Agenzia delle dogane e dei monopoli a istituire, un fondo di 100.000 euro da utilizzare per effettuare operazioni di gioco, al fine di acquisire elementi di prova in ordine alle eventuali violazioni in materia di gioco pubblico, ivi comprese quelle relative al divieto di gioco dei minori. All’utilizzo del fondo le cui modalità di utilizzo saranno individuate con provvedimento del Direttore dell’Agenzia delle dogane e dei monopoli, sono autorizzati oltre al personale della medesima Agenzia, anche quello della Polizia di Stato, dell’Arma dei Carabinieri, del Corpo della Guardia di Finanza. Ogni operazione di gioco dovrà essere effettuata previo concerto con le competenti strutture dell’Agenzia delle dogane e dei Monopoli. Le eventuali vincite conseguenti tali attività di controllo dovranno essere riversate nel medesimo fondo. La disposizione non ha costi per il bilancio dello Stato, atteso che il fondo grava sulle risorse proprie dell’Agenzia delle dogane e dei monopoli. </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norma riprende quella già contenuta nell’art. 10, comma 1, del D.L. n. 16/2012, riformulandola stante l’avvenuto accorpamento dell’Amministrazione autonoma dei monopoli di Stato con l’Agenzia delle dogane.</w:t>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norma potrà essere utilizzata anche per appurare i reali soggetti titolari di piattaforme di gioco che offrono illecitamente scommesse o altri giochi on line in Italia, andandosi quindi a coordinare con la disposizione che introduce il divieto, per gli operatori bancari, per i soggetti emittenti carte di credito e per gli operatori finanziari e postali, di procedere alle operazioni di trasferimento di denaro a favore di soggetti che raccolgono gioco in Italia, attraverso reti telematiche o di telecomunicazione, in mancanza di concessione o, comunque, di qualsiasi altro titolo abilitativo richiesto all’esercizio di tale attività.</w:t>
      </w:r>
    </w:p>
    <w:p w:rsidR="00000000" w:rsidDel="00000000" w:rsidP="00000000" w:rsidRDefault="00000000" w:rsidRPr="00000000" w14:paraId="000003F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3F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in esame costituisce un presidio per il contrasto ad una serie di illeciti il cui accertamento è estremamente complesso e difficoltoso e, al tempo stesso, ha un effetto “deterrente” che contribuisce a indirizzare il gioco sui circuiti legali. </w:t>
      </w:r>
    </w:p>
    <w:p w:rsidR="00000000" w:rsidDel="00000000" w:rsidP="00000000" w:rsidRDefault="00000000" w:rsidRPr="00000000" w14:paraId="000003F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settori in cui la possibilità di effettuare giocate da parte dell’Agenzia e delle forze dell’ordine presenterà il più alto tasso di efficacia sono quelli delle scommesse e degli apparecchi illegali situati in pubblici esercizi.</w:t>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proposito, in relazione al solo comparto delle scommesse, in occasione delle misure adottate in relazione al D.L. n. 4/2019 è stato stimato un aumento del volume d’affari del 10% rispetto a quello del 2018 (circa 1,8 Md€), con un incremento stimato del gettito di almeno 35.000.000 di euro annui, a partire dal 2019. A oggi, il trend registrato nel corso del 2019 ha confermato tale previsione, per cui, essendo la norma in esame destinata ad avere effetti di efficacia sia nel settore dello scommesse sia in quello degli apparecchi, i cui volumi sono di gran lunga superiori rispetto a quello delle scommesse (circa 25 Md€ di raccolta nel corso del 2018), può stimarsi un recupero di gioco illegale al comparto legale degli apparecchi nella ragionevole misura dello 0,5%, che darebbe un totale di base imponibile emersa pari a 125 Ml€ che, applicando il PREU del 20% fa stimare un maggior introito erariale di 25 Ml€ dal 2020. </w:t>
      </w:r>
    </w:p>
    <w:p w:rsidR="00000000" w:rsidDel="00000000" w:rsidP="00000000" w:rsidRDefault="00000000" w:rsidRPr="00000000" w14:paraId="0000040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 e ss.: 25 Ml€</w:t>
      </w:r>
    </w:p>
    <w:p w:rsidR="00000000" w:rsidDel="00000000" w:rsidP="00000000" w:rsidRDefault="00000000" w:rsidRPr="00000000" w14:paraId="0000040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in esame non comporta oneri aggiuntivi rispetto alle ordinarie spese di funzionamento dell’Agenzia, in quanto le attività previste verranno svolte con le risorse umane e materiali esistenti.</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31</w:t>
      </w:r>
    </w:p>
    <w:p w:rsidR="00000000" w:rsidDel="00000000" w:rsidP="00000000" w:rsidRDefault="00000000" w:rsidRPr="00000000" w14:paraId="0000040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Disposizioni relative all’articolo 24 del decreto-legge n. 98 del 2011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08">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Fermo restando quanto previsto dall’articolo 24, comma 28, del decreto-legge 6 luglio 2011, n. 98, convertito, con modificazioni, dalla legge 15 luglio 2011, n. 111, non possono essere titolari o condurre esercizi commerciali, locali o altri spazi all'interno dei quali sia offerto gioco pubblico, operatori economici che hanno commesso violazioni definitivamente accertate, agli obblighi di pagamento delle imposte e tasse o dei contributi previdenziali secondo quanto previsto dall’articolo 80, comma 4, del decreto legislativo 18 aprile 2016, n. 50.</w:t>
      </w:r>
    </w:p>
    <w:p w:rsidR="00000000" w:rsidDel="00000000" w:rsidP="00000000" w:rsidRDefault="00000000" w:rsidRPr="00000000" w14:paraId="0000040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All’articolo 24, comma 25, del decreto-legge 6 luglio 2011, n. 98, convertito, con modificazioni, dalla legge 15 luglio 2011, n. 111, le parole “ovvero l’imputazione o la condizione di indagato sia riferita al coniuge non separato” sono sostituite dalle seguenti: “ovvero l’imputazione sia riferita al coniuge non separato o, per le società partecipate da fondi di investimento o assimilati, al titolare o al rappresentante legale o negoziale ovvero al direttore generale della società di gestione del fondo”.</w:t>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norma di cui 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comma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commento rafforza i divieti già esistenti per l’esercizio di attività commerciali, locali o altri spazi all'interno dei quali sia offerto gioco pubblico, da parte di persone fisiche nei cui confronti sussistono le situazioni ostative previste dalle disposizioni antimafia, nonché nei casi in cui sia stata riscontrata la sussistenza di elementi relativi a tentativi di infiltrazione mafiosa sull’attività. In particolare, la norma de qua aggiunge a tali divieti, anche il caso in cui il titolare dell’attività di raccolta di gioco pubblico abbia commesso gravi violazioni relative agli obblighi di pagamento di imposte e tasse, nonché di contributi assistenziali e previdenziali; sempre che tali violazioni siano state definitivamente accertate. </w:t>
      </w:r>
    </w:p>
    <w:p w:rsidR="00000000" w:rsidDel="00000000" w:rsidP="00000000" w:rsidRDefault="00000000" w:rsidRPr="00000000" w14:paraId="0000040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di cui al </w:t>
      </w:r>
      <w:r w:rsidDel="00000000" w:rsidR="00000000" w:rsidRPr="00000000">
        <w:rPr>
          <w:rFonts w:ascii="Times New Roman" w:cs="Times New Roman" w:eastAsia="Times New Roman" w:hAnsi="Times New Roman"/>
          <w:b w:val="1"/>
          <w:sz w:val="24"/>
          <w:szCs w:val="24"/>
          <w:rtl w:val="0"/>
        </w:rPr>
        <w:t xml:space="preserve">comma 2</w:t>
      </w:r>
      <w:r w:rsidDel="00000000" w:rsidR="00000000" w:rsidRPr="00000000">
        <w:rPr>
          <w:rFonts w:ascii="Times New Roman" w:cs="Times New Roman" w:eastAsia="Times New Roman" w:hAnsi="Times New Roman"/>
          <w:sz w:val="24"/>
          <w:szCs w:val="24"/>
          <w:rtl w:val="0"/>
        </w:rPr>
        <w:t xml:space="preserve"> integra il dettato dell’articolo 24, comma 25 del decreto legge 6 luglio 2011, n. 98. Tale comma prevede infatti che non può partecipare a gare o a procedure ad evidenza pubblica nè ottenere il rilascio o rinnovo o il mantenimento di concessioni in materia di giochi pubblici il soggetto il cui titolare o il rappresentante legale o negoziale ovvero il direttore generale o il soggetto responsabile di sede secondaria o di stabili organizzazioni in Italia di soggetti non residenti, risulti condannato, anche con sentenza non definitiva, ovvero imputato, per uno dei delitti previsti dagli articoli 2 e 3 del decreto legislativo 10 marzo 2000, n. 74 e dagli articoli 314, 316, 317, 318, 319, 319-ter, 320, 321, 322, 323, 416, 416-bis, 644, 648, 648-bis e 648-ter del codice penale ovvero, se commesso all'estero, per un delitto di criminalità organizzata o di riciclaggio di denaro proveniente da attività illecite. Il medesimo divieto è applico anche al soggetto partecipato, anche indirettamente, in misura superiore al 2 per cento del capitale o patrimonio da persone fisiche che risultino condannate, anche con sentenza non definitiva, ovvero imputate, per uno dei predetti delitti. Con la norma, il divieto di partecipazione a gare o di rilascio o di rinnovo o di mantenimento delle concessioni viene esteso anche al caso in cui la condanna riguardi, per le società partecipate da fondi di investimento o assimilati, il titolare o il rappresentante legale o negoziale ovvero il direttore generale della società di gestione del fondo; con l’occasione, il periodo viene allineato con i precedenti capi della norma che non prevedono tra le ipotesi di esclusione la condizione di indagato.  </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41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non comporta oneri aggiuntivi a carico del bilancio dello Stato. L’Agenzia delle dogane e dei monopoli provvede agli adempimenti connessi all’attuazione con le risorse umane, strumentali e finanziarie disponibili a legislazione vigente. </w:t>
      </w:r>
    </w:p>
    <w:p w:rsidR="00000000" w:rsidDel="00000000" w:rsidP="00000000" w:rsidRDefault="00000000" w:rsidRPr="00000000" w14:paraId="0000041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4">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32</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(Omesso versamento dell’imposta unica)</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Al fine di contrastare la diffusione del gioco irregolare ed illegale, l'evasione, l'elusione fiscale e il riciclaggio nel settore del gioco, nonché di assicurare l'ordine pubblico e la tutela del giocatore ed evitare fenomeni di alterazione della concorrenza, fermi restando i divieti di offerta al pubblico di gioco in assenza di concessione statale o di autorizzazione di pubblica sicurezza e le relative sanzioni penali ed amministrative previste, è disposta, con provvedimento dell’Agenzia delle Dogane e dei Monopoli, la chiusura dei punti vendita nei quali si offrono al pubblico scommesse e concorsi pronostici qualora il soggetto che gestisce il punto di vendita risulti debitore d’imposta unica di cui alla legge 23 dicembre 1998 n. 504, in base ad una sentenza, anche non definitiva, la cui esecutività non sia sospesa. La presente disposizione si applica altresì ai punti vendita dei soggetti per conto dei quali l'attività è esercitata, che risultino debitori d’imposta unica di cui alla legge 23 dicembre 1998 n. 504, anche in via solidale con il soggetto gestore del punto vendita. Il provvedimento dell'Agenzia delle dogane e dei monopoli contiene l’invito al pagamento, entro trenta giorni dalla notifica, di quanto dovuto per effetto della sentenza di condanna e l’intimazione alla chiusura se, decorso il periodo previsto, non sia fornita prova dell’avvenuto pagamento. L’Agenzia avvisa senza ritardo il competente Comando della Guardia di Finanza o della Polizia di Stato per procedere all’esecuzione della chiusura. In caso di violazione della chiusura dell’esercizio, il soggetto sanzionato è punito con la sanzione amministrativa da euro diecimila a euro trentamila, oltre alla chiusura dell’esercizio in forma coattiva. In caso di sentenza favorevole al contribuente successiva al versamento del tributo, l’Agenzia delle dogane e dei monopoli dispone il rimborso delle somme dovute, come risultanti dalla sentenza, entro novanta giorni dal deposito.</w:t>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L’Agenzia delle dogane e dei monopoli, nell’ambito dell’attività ordinaria di controllo dei pagamenti da parte dei soggetti obbligati, procede a diffidare coloro che risultino inadempienti, in tutto o in parte, al versamento di quanto dovuto a titolo di imposta unica oltre a sanzioni ed interessi entro trenta giorni. In caso di mancato versamento nei termini di cui al primo periodo, l’Agenzia delle dogane e dei monopoli procede all’escussione delle garanzie prestate in base ai regimi convenzionali previsti. Il soggetto obbligato è tenuto a reintegrare la garanzia entro novanta giorni dall’escussione, a pena di decadenza della concessione. </w:t>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Relazione illustrativa</w:t>
      </w: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settore delle scommesse sono numerosi i casi di mancato versamento dell’imposta unica, sovente oggetto di un contenzioso tributario alimentato talvolta in maniera dilatoria, a fronte del quale le disposizioni attuali consentono all’operatore di continuare ad offrire gioco, senza versare il tributo dovuto. Con la norma in esame si prevede che in caso di accertamento dell’imposta dovuta, il soggetto che intende continuare ad offrire gioco, deve procedere al pagamento di quanto risultante dalla sentenza del giudice tributario, anche non definitiva. Tale disposizione si rende opportuna da un lato per non far venir meno il rapporto fiduciario con il concessionario e, dall’altro, per evitare situazioni di “concorrenza sleale” nei confronti di operatori regolari. </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comma 2 della norma consente all’Amministrazione di poter utilizzare mezzi più efficaci per ottenere il versamento dell’imposta unica, a fronte dell’esistenza di una garanzia fideiussoria in quanto, allo stato, la norma prevede la possibilità di escussione delle garanzie soltanto dopo la liquidazione automatizzata e l’iscrizione a ruolo, in caso di inadempimento (art. 24 del D.L. n. 98/2011). </w:t>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Relazione tecnica</w:t>
      </w:r>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contenzioso in materia di imposta unica, che vede vittoriosa l’Amministrazione, relativo alle sentenze pronunciate nel 2018, è pari ad un importo di circa 74 Ml€ di imposta. </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L’ammontare complessivo degli accertamenti effettuati nel 2018 è stato pari a 120 Ml€, che, sulla base dell’andamento delle pregresse annualità, fa stimare al 70% l’indice di positività del contenzioso. Le pronunce favorevoli del 2018 confermano tale dato. </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norma proposta può consentire un più immediato recupero dell’evasione pregressa oppure, in caso di chiusura dei punti vendita, di veicolare la raccolta delle scommesse verso operatori in regola con gli obblighi fiscali. </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fine di rendere la previsione più prudenziale, tenendo anche conto del fatto che le sentenze favorevoli non definitive possono essere riformate in secondo grado o in Cassazione, si stima che i maggiori importi annui per l’Erario sono pari a 30 Ml€. </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 e ss.: 30 Ml€</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disposizione non comporta oneri aggiuntivi a carico del bilancio dello Stato. L’Agenzia provvede agli adempimenti connessi all’attuazione con le risorse umane, strumentali e finanziarie disponibili a legislazione vigente.</w:t>
      </w:r>
    </w:p>
    <w:p w:rsidR="00000000" w:rsidDel="00000000" w:rsidP="00000000" w:rsidRDefault="00000000" w:rsidRPr="00000000" w14:paraId="00000427">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8">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TITOLO III</w:t>
      </w:r>
    </w:p>
    <w:p w:rsidR="00000000" w:rsidDel="00000000" w:rsidP="00000000" w:rsidRDefault="00000000" w:rsidRPr="00000000" w14:paraId="0000042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Ulteriori disposizioni fiscali</w:t>
      </w:r>
    </w:p>
    <w:p w:rsidR="00000000" w:rsidDel="00000000" w:rsidP="00000000" w:rsidRDefault="00000000" w:rsidRPr="00000000" w14:paraId="0000042B">
      <w:pPr>
        <w:spacing w:after="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42C">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33</w:t>
      </w:r>
    </w:p>
    <w:p w:rsidR="00000000" w:rsidDel="00000000" w:rsidP="00000000" w:rsidRDefault="00000000" w:rsidRPr="00000000" w14:paraId="0000042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A</w:t>
      </w:r>
      <w:r w:rsidDel="00000000" w:rsidR="00000000" w:rsidRPr="00000000">
        <w:rPr>
          <w:rFonts w:ascii="Times New Roman" w:cs="Times New Roman" w:eastAsia="Times New Roman" w:hAnsi="Times New Roman"/>
          <w:i w:val="1"/>
          <w:sz w:val="24"/>
          <w:szCs w:val="24"/>
          <w:rtl w:val="0"/>
        </w:rPr>
        <w:t xml:space="preserve">deguamento sentenza della Corte di Giustizia UE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2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10, comma 1, n. 20), del decreto del Presidente della repubblica 26 ottobre 1972, n. 633, le parole «e quelle didattiche di ogni genere, anche» sono sostituite con le parole «, le prestazioni d’insegnamento scolastico o universitario e quelle». </w:t>
      </w:r>
    </w:p>
    <w:p w:rsidR="00000000" w:rsidDel="00000000" w:rsidP="00000000" w:rsidRDefault="00000000" w:rsidRPr="00000000" w14:paraId="0000043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Sono fatti salvi i comportamenti difformi adottati dai contribuenti anteriormente alla data di entrata in vigore della presente disposizione, per effetto della sentenza Corte di Giustizia UE del 14 marzo 2019, causa C-449/17.</w:t>
      </w:r>
    </w:p>
    <w:p w:rsidR="00000000" w:rsidDel="00000000" w:rsidP="00000000" w:rsidRDefault="00000000" w:rsidRPr="00000000" w14:paraId="0000043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All’articolo 2 del decreto del Presidente della Repubblica 21 dicembre 1996, n. 696, è soppressa la lettera q). Per le prestazioni didattiche, finalizzate al conseguimento della patente, le autoscuole, tenute alla memorizzazione elettronica e trasmissione  telematica  dei  dati  dei corrispettivi giornalieri ai sensi dell'art. 2,  comma  1,  del  decreto legislativo 5 agosto 205, n. 127, possono, fino al 30 giugno 2020, documentare i corrispettivi mediante il rilascio della  ricevuta  fiscale  di  cui all'art. 8 della legge 10 maggio 1976, n. 249, ovvero dello scontrino fiscale di cui alla legge 26 gennaio 1983, n.  18, con l'osservanza delle relative discipline.</w:t>
      </w:r>
    </w:p>
    <w:p w:rsidR="00000000" w:rsidDel="00000000" w:rsidP="00000000" w:rsidRDefault="00000000" w:rsidRPr="00000000" w14:paraId="0000043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La presente disposizione entra in vigore il 1° gennaio 2020.</w:t>
      </w:r>
    </w:p>
    <w:p w:rsidR="00000000" w:rsidDel="00000000" w:rsidP="00000000" w:rsidRDefault="00000000" w:rsidRPr="00000000" w14:paraId="0000043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436">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3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modifica dell’articolo 10, comma 1, n. 20), del D.P.R. 26 ottobre 1972, n. 633, prevista dalla norma in esame è finalizzata ad adeguare l’ordinamento interno a quello comunitario, a seguito della recente sentenza della Corte di giustizia UE 14 marzo 2019, C-449/17 che chiarito i criteri in base ai quali gli Stati possono esentare dall’imposta sul valore aggiunto le prestazioni didattiche, disposta dall’articolo 132, paragrafo 1, lettere i) e j), della direttiva 28 novembre 2006, n. 2006/112/CE. </w:t>
      </w:r>
    </w:p>
    <w:p w:rsidR="00000000" w:rsidDel="00000000" w:rsidP="00000000" w:rsidRDefault="00000000" w:rsidRPr="00000000" w14:paraId="0000043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base alla richiamata lettera i), l’esenzione da IVA può essere prevista per l'educazione dell'infanzia o della gioventù, l'insegnamento scolastico o universitario, la formazione o la riqualificazione professionale, nonché per le prestazioni di servizi e le cessioni di beni con essi strettamente connesse, effettuate da enti di diritto pubblico aventi lo stesso scopo o da altri organismi riconosciuti dallo Stato membro interessato come aventi finalità simili. La successiva lettera j) prevede l’esenzione per le lezioni impartite da insegnanti a titolo personale e relative all'insegnamento scolastico o universitario.</w:t>
      </w:r>
    </w:p>
    <w:p w:rsidR="00000000" w:rsidDel="00000000" w:rsidP="00000000" w:rsidRDefault="00000000" w:rsidRPr="00000000" w14:paraId="0000043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Corte di giustizia UE ha chiarito che la nozione di «insegnamento scolastico o universitario», ai sensi della direttiva 2006/112/CE, non si limita ai soli insegnamenti che si concludono con esami volti all’ottenimento di una qualifica o che consentono di acquisire una formazione per l’esercizio di un’attività professionale, ma comprende altre attività in cui l’istruzione viene fornita nelle scuole o nelle università per sviluppare le conoscenze e le attitudini degli allievi o degli studenti, purché tali attività non abbiano carattere puramente ricreativo. La Corte ha affermato, in particolare, che tale nozione non comprende l’insegnamento della guida automobilistica impartito da una scuola guida, ai fini dell’ottenimento delle patenti di guida per i veicoli delle categorie B e C1, di cui all’articolo 4, paragrafo 4, della direttiva 2006/126. Secondo la Corte di Giustizia tale insegnamento, pur avendo ad oggetto varie conoscenze di ordine pratico e teorico, resta comunque un insegnamento specialistico che non equivale, di per se stesso, alla trasmissione di conoscenze e di competenze aventi ad oggetto un insieme ampio e diversificato di materie, nonché al loro approfondimento e al loro sviluppo, caratterizzanti l’insegnamento scolastico o universitario.</w:t>
      </w:r>
    </w:p>
    <w:p w:rsidR="00000000" w:rsidDel="00000000" w:rsidP="00000000" w:rsidRDefault="00000000" w:rsidRPr="00000000" w14:paraId="0000043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seguito di quanto chiarito dalla sentenza C-449/17, l’ordinamento interno non risulta conforme alla normativa unionale in quanto l’art 10, n. 20), del DPR n. 633 del 1972, recependo l’art. 132, paragrafo 1, lettere i) e j), della direttiva n. 2006/112/CE, ha delimitato il perimetro dell’esenzione includendovi "le prestazioni educative dell'infanzia e della gioventù e quelle didattiche di ogni genere, anche per la formazione, l'aggiornamento, la riqualificazione e riconversione professionale, ….”, comprendendo quindi anche le prestazioni didattiche di contenuto specialistico, quali, ad esempio, quelle rese da scuole guida e da scuole di sci.</w:t>
      </w:r>
    </w:p>
    <w:p w:rsidR="00000000" w:rsidDel="00000000" w:rsidP="00000000" w:rsidRDefault="00000000" w:rsidRPr="00000000" w14:paraId="0000043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b w:val="1"/>
          <w:sz w:val="24"/>
          <w:szCs w:val="24"/>
          <w:rtl w:val="0"/>
        </w:rPr>
        <w:t xml:space="preserve">comma 1</w:t>
      </w:r>
      <w:r w:rsidDel="00000000" w:rsidR="00000000" w:rsidRPr="00000000">
        <w:rPr>
          <w:rFonts w:ascii="Times New Roman" w:cs="Times New Roman" w:eastAsia="Times New Roman" w:hAnsi="Times New Roman"/>
          <w:sz w:val="24"/>
          <w:szCs w:val="24"/>
          <w:rtl w:val="0"/>
        </w:rPr>
        <w:t xml:space="preserve"> della presente norma, modificando l’articolo 10, comma 1, n. 20, stabilisce che l’esenzione è limitata alle prestazioni d’insegnamento scolastico o universitario e non riguarda le prestazioni didattiche di ogni genere. La presente disposizione non modifica l’esenzione prevista per le prestazioni educative dell'infanzia e della gioventù nonché per la formazione, aggiornamento, riqualificazione e riconversione professionale nè gli altri elementi oggettivi e soggettivi previsti dall’articolo 10, comma 1, n. 20 del D.P.R. n. 633 del 1972.</w:t>
      </w:r>
    </w:p>
    <w:p w:rsidR="00000000" w:rsidDel="00000000" w:rsidP="00000000" w:rsidRDefault="00000000" w:rsidRPr="00000000" w14:paraId="0000043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successivo </w:t>
      </w:r>
      <w:r w:rsidDel="00000000" w:rsidR="00000000" w:rsidRPr="00000000">
        <w:rPr>
          <w:rFonts w:ascii="Times New Roman" w:cs="Times New Roman" w:eastAsia="Times New Roman" w:hAnsi="Times New Roman"/>
          <w:b w:val="1"/>
          <w:sz w:val="24"/>
          <w:szCs w:val="24"/>
          <w:rtl w:val="0"/>
        </w:rPr>
        <w:t xml:space="preserve">comma 2</w:t>
      </w:r>
      <w:r w:rsidDel="00000000" w:rsidR="00000000" w:rsidRPr="00000000">
        <w:rPr>
          <w:rFonts w:ascii="Times New Roman" w:cs="Times New Roman" w:eastAsia="Times New Roman" w:hAnsi="Times New Roman"/>
          <w:sz w:val="24"/>
          <w:szCs w:val="24"/>
          <w:rtl w:val="0"/>
        </w:rPr>
        <w:t xml:space="preserve"> intende salvaguardare i contribuenti che, prima dell’entrata in vigore della presente disposizione, hanno assoggettato ad imposta le prestazioni didattiche specifiche, a seguito della sentenza della Corte di Giustizia UE del 14 marzo 2019, causa C-449/17.</w:t>
      </w:r>
    </w:p>
    <w:p w:rsidR="00000000" w:rsidDel="00000000" w:rsidP="00000000" w:rsidRDefault="00000000" w:rsidRPr="00000000" w14:paraId="0000043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b w:val="1"/>
          <w:sz w:val="24"/>
          <w:szCs w:val="24"/>
          <w:rtl w:val="0"/>
        </w:rPr>
        <w:t xml:space="preserve">comma 3</w:t>
      </w:r>
      <w:r w:rsidDel="00000000" w:rsidR="00000000" w:rsidRPr="00000000">
        <w:rPr>
          <w:rFonts w:ascii="Times New Roman" w:cs="Times New Roman" w:eastAsia="Times New Roman" w:hAnsi="Times New Roman"/>
          <w:sz w:val="24"/>
          <w:szCs w:val="24"/>
          <w:rtl w:val="0"/>
        </w:rPr>
        <w:t xml:space="preserve"> disciplina le modalità di certificazione dei corrispettivi relativi alle prestazioni didattiche rese dalle autoscuole per il conseguimento della patente, espressamente esonerate da tale adempimento dall’articolo 2, lettera q), del decreto del Presidente della Repubblica 21 dicembre 1996, n. 696. La norma prevede l’abrogazione della disposizione di esonero, con effetto dal 1 gennaio 2020, e dispone che le autoscuole effettuino la memorizzazione elettronica e la trasmissione telematica dei dati dei corrispettivi giornalieri ai sensi dell'art. 2, comma 1, del decreto legislativo n. 127/15. Per tener conto, tuttavia, del tempo necessario all’adeguamento dei sistemi tecnici e informatici, è previsto che i corrispettivi delle prestazioni in esame, fino al 30 giugno 2020, possono essere certificati mediante il rilascio della ricevuta fiscale, di cui all'art. 8 della legge 10 maggio 1976, n. 249, ovvero dello scontrino fiscale, di cui alla legge 26 gennaio 1983, n.  18. </w:t>
      </w:r>
    </w:p>
    <w:p w:rsidR="00000000" w:rsidDel="00000000" w:rsidP="00000000" w:rsidRDefault="00000000" w:rsidRPr="00000000" w14:paraId="0000043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b w:val="1"/>
          <w:sz w:val="24"/>
          <w:szCs w:val="24"/>
          <w:rtl w:val="0"/>
        </w:rPr>
        <w:t xml:space="preserve">comma 4</w:t>
      </w:r>
      <w:r w:rsidDel="00000000" w:rsidR="00000000" w:rsidRPr="00000000">
        <w:rPr>
          <w:rFonts w:ascii="Times New Roman" w:cs="Times New Roman" w:eastAsia="Times New Roman" w:hAnsi="Times New Roman"/>
          <w:sz w:val="24"/>
          <w:szCs w:val="24"/>
          <w:rtl w:val="0"/>
        </w:rPr>
        <w:t xml:space="preserve">, infine, fissa la decorrenza della norma al 1° gennaio 2020, confermando il carattere non retroattivo della disposizione stessa.</w:t>
      </w:r>
    </w:p>
    <w:p w:rsidR="00000000" w:rsidDel="00000000" w:rsidP="00000000" w:rsidRDefault="00000000" w:rsidRPr="00000000" w14:paraId="0000043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44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41">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Dai dati delle dichiarazioni IVA 2017 è stata individuata l’attività riferita alle scuole guida (comprese quelle di volo e nautiche) e alle altre attività didattiche di contenuto specialistico alle quali è stata applicata l’aliquota del 22%. Dall’elaborazione dei dati si stima che l’intervento comporti un recupero di maggiore IVA, tenuto conto anche dell’effetto dovuto all’IVA attualmente non detratta per il pro-rata, di 66 milioni di euro su base annua.</w:t>
      </w:r>
      <w:r w:rsidDel="00000000" w:rsidR="00000000" w:rsidRPr="00000000">
        <w:rPr>
          <w:rtl w:val="0"/>
        </w:rPr>
      </w:r>
    </w:p>
    <w:p w:rsidR="00000000" w:rsidDel="00000000" w:rsidP="00000000" w:rsidRDefault="00000000" w:rsidRPr="00000000" w14:paraId="00000442">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3">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34</w:t>
      </w:r>
    </w:p>
    <w:p w:rsidR="00000000" w:rsidDel="00000000" w:rsidP="00000000" w:rsidRDefault="00000000" w:rsidRPr="00000000" w14:paraId="0000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(Sospensione adempimenti connessi ad eventi sismici)</w:t>
      </w:r>
    </w:p>
    <w:p w:rsidR="00000000" w:rsidDel="00000000" w:rsidP="00000000" w:rsidRDefault="00000000" w:rsidRPr="00000000" w14:paraId="00000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4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 soggetti di cui all’articolo 1 del decreto del Ministro dell’economia e delle finanze del 25 gennaio 2019,  pubblicato nella Gazzetta Ufficiale del 5 febbraio 2019,  n. 30, aventi alla data del 26 dicembre 2018, la residenza, ovvero, la sede legale o la sede operativa nel territorio dei Comuni di Aci  Bonaccorsi, Aci  Catena, Aci Sant'Antonio, Acireale, Milo, Santa Venerina, Trecastagni, Viagrande e Zafferana  Etnea, che  hanno usufruito della sospensione dei termini dei versamenti tributari scadenti nel periodo  dal 26 dicembre 2018 al  30 settembre 2019, eseguono i predetti versamenti, senza applicazione di sanzioni e interessi, in unica soluzione entro il 16 gennaio 2020, ovvero, a decorrere dalla stessa data, mediante rateizzazione fino a un massimo di diciotto rate mensili di pari importo</w:t>
      </w:r>
      <w:r w:rsidDel="00000000" w:rsidR="00000000" w:rsidRPr="00000000">
        <w:rPr>
          <w:rFonts w:ascii="Times New Roman" w:cs="Times New Roman" w:eastAsia="Times New Roman" w:hAnsi="Times New Roman"/>
          <w:b w:val="1"/>
          <w:sz w:val="24"/>
          <w:szCs w:val="24"/>
          <w:rtl w:val="0"/>
        </w:rPr>
        <w:t xml:space="preserve"> da versare entro il 16 di ogni mese </w:t>
      </w:r>
      <w:r w:rsidDel="00000000" w:rsidR="00000000" w:rsidRPr="00000000">
        <w:rPr>
          <w:rFonts w:ascii="Times New Roman" w:cs="Times New Roman" w:eastAsia="Times New Roman" w:hAnsi="Times New Roman"/>
          <w:sz w:val="24"/>
          <w:szCs w:val="24"/>
          <w:rtl w:val="0"/>
        </w:rPr>
        <w:t xml:space="preserve">. Gli adempimenti tributari, diversi dai versamenti, non eseguiti per effetto della sospensione, sono effettuati entro il mese di gennaio 2020.</w:t>
      </w:r>
    </w:p>
    <w:p w:rsidR="00000000" w:rsidDel="00000000" w:rsidP="00000000" w:rsidRDefault="00000000" w:rsidRPr="00000000" w14:paraId="0000044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Agli oneri derivanti dal comma 1, valutati in 9,2 milioni di euro per l’anno 2019, si provvede mediante utilizzo delle risorse di cui all’articolo 2, comma 107, della legge 24 dicembre 2007, n. 244.</w:t>
      </w:r>
    </w:p>
    <w:p w:rsidR="00000000" w:rsidDel="00000000" w:rsidP="00000000" w:rsidRDefault="00000000" w:rsidRPr="00000000" w14:paraId="00000449">
      <w:pPr>
        <w:spacing w:after="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4A">
      <w:pPr>
        <w:spacing w:after="0" w:lineRule="auto"/>
        <w:ind w:left="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44B">
      <w:p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Decreto del 25 gennaio 2019, adottato ai sensi dell’art. 9, comma 2, della legge 27 luglio 2000, n. 212, ha disposto per i contribuenti interessati dal sisma del 26 dicembre 2018, che ha colpito alcuni Comuni della Provincia di Catania, la sospensione dei termini dei versamenti e degli adempimenti tributari, inclusi quelli derivanti da cartelle di pagamento emesse dagli agenti della riscossione, nonché dagli atti previsti dall’articolo 29 del decreto legge 31 maggio 2010, n. 78, convertito, con modificazioni, dalla legge 30 luglio 2010, n. 122, scadenti nel periodo compreso tra il 26 dicembre 2018 e il 30 settembre 2019. Ai sensi dell’articolo 1, comma 3, del medesimo decreto sono state escluse dalla sospensione le ritenute che dovevano essere operate e versate dai sostituti d’imposta. Lo stesso decreto ha previsto, inoltre, che gli adempimenti e i versamenti oggetto di sospensione vanno effettuati in unica soluzione entro il 31 ottobre 2019.</w:t>
      </w:r>
    </w:p>
    <w:p w:rsidR="00000000" w:rsidDel="00000000" w:rsidP="00000000" w:rsidRDefault="00000000" w:rsidRPr="00000000" w14:paraId="0000044C">
      <w:p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la presente norma si prevede la proroga del termine di ripresa della riscossione per i predetti soggetti che hanno beneficiato della sospensione nel periodo compreso tra il 26 dicembre 2018 e il 30 settembre 2019. In particolare, si stabilisce che la ripresa della riscossione avviene, senza applicazione di sanzioni e interessi, in unica soluzione entro il 16 gennaio 2020, ovvero, a decorrere dalla stessa data, mediante rateizzazione fino a un massimo di diciotto rate mensili di pari importo da versare entro il 16 di ogni mese. Gli adempimenti tributari, diversi dai versamenti, non eseguiti per effetto della sospensione, sono effettuati entro il mese di gennaio 2020.</w:t>
      </w:r>
    </w:p>
    <w:p w:rsidR="00000000" w:rsidDel="00000000" w:rsidP="00000000" w:rsidRDefault="00000000" w:rsidRPr="00000000" w14:paraId="0000044D">
      <w:pPr>
        <w:spacing w:after="0" w:lineRule="auto"/>
        <w:rPr>
          <w:rFonts w:ascii="Times New Roman" w:cs="Times New Roman" w:eastAsia="Times New Roman" w:hAnsi="Times New Roman"/>
          <w:b w:val="1"/>
          <w:strike w:val="1"/>
          <w:sz w:val="24"/>
          <w:szCs w:val="24"/>
        </w:rPr>
      </w:pPr>
      <w:r w:rsidDel="00000000" w:rsidR="00000000" w:rsidRPr="00000000">
        <w:rPr>
          <w:rtl w:val="0"/>
        </w:rPr>
      </w:r>
    </w:p>
    <w:p w:rsidR="00000000" w:rsidDel="00000000" w:rsidP="00000000" w:rsidRDefault="00000000" w:rsidRPr="00000000" w14:paraId="0000044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44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di cui ai </w:t>
      </w:r>
      <w:r w:rsidDel="00000000" w:rsidR="00000000" w:rsidRPr="00000000">
        <w:rPr>
          <w:rFonts w:ascii="Times New Roman" w:cs="Times New Roman" w:eastAsia="Times New Roman" w:hAnsi="Times New Roman"/>
          <w:b w:val="1"/>
          <w:sz w:val="24"/>
          <w:szCs w:val="24"/>
          <w:rtl w:val="0"/>
        </w:rPr>
        <w:t xml:space="preserve">commi 1 e 2</w:t>
      </w:r>
      <w:r w:rsidDel="00000000" w:rsidR="00000000" w:rsidRPr="00000000">
        <w:rPr>
          <w:rFonts w:ascii="Times New Roman" w:cs="Times New Roman" w:eastAsia="Times New Roman" w:hAnsi="Times New Roman"/>
          <w:sz w:val="24"/>
          <w:szCs w:val="24"/>
          <w:rtl w:val="0"/>
        </w:rPr>
        <w:t xml:space="preserve"> in esame differisce al 16 gennaio 2020 la ripresa dei versamenti sospesi fino al 30 settembre 2019 con il Decreto del Ministro dell’economia e delle finanze del 25 gennaio 2019. La sospensione in esame ha riguardato i contribuenti interessati dal sisma del 26 dicembre 2018 che ha colpito alcuni comuni della provincia di Catania e non include le ritenute operate dai sostituti d’imposta.</w:t>
      </w:r>
    </w:p>
    <w:p w:rsidR="00000000" w:rsidDel="00000000" w:rsidP="00000000" w:rsidRDefault="00000000" w:rsidRPr="00000000" w14:paraId="0000045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la presente disposizione prevede che i versamenti sospesi devono essere restituiti senza sanzioni e interessi entro il 16 gennaio 2020 ovvero a decorrere dalla stessa data mediante rateizzazione fino a un massimo di diciotto rate mensili.</w:t>
      </w:r>
    </w:p>
    <w:p w:rsidR="00000000" w:rsidDel="00000000" w:rsidP="00000000" w:rsidRDefault="00000000" w:rsidRPr="00000000" w14:paraId="0000045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assenza dei relativi dati puntuali desumibili dalle dichiarazioni dei redditi, sulla base dei dati di gettito tributario riferibili al complesso di soggetti potenzialmente interessati alla predetta sospensione si stima un ammontare di entrate tributarie sospese nel periodo da gennaio a settembre 2019 pari a 9,2 milioni di euro.</w:t>
      </w:r>
    </w:p>
    <w:p w:rsidR="00000000" w:rsidDel="00000000" w:rsidP="00000000" w:rsidRDefault="00000000" w:rsidRPr="00000000" w14:paraId="0000045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effetto del differimento della ripresa dei versamenti al 16 gennaio 2020 e al presumibile utilizzo della rateizzazione si stimano minori entrate tributarie per l’anno 2019 pari a -9,2 milioni di euro e corrispondenti maggiori entrate pari a +6,1 milioni di euro per l’anno 2020 e pari a +3,1 milioni di euro per l’anno 2021, come di seguito specificato:</w:t>
      </w:r>
    </w:p>
    <w:p w:rsidR="00000000" w:rsidDel="00000000" w:rsidP="00000000" w:rsidRDefault="00000000" w:rsidRPr="00000000" w14:paraId="00000453">
      <w:pPr>
        <w:spacing w:after="0" w:line="240" w:lineRule="auto"/>
        <w:jc w:val="both"/>
        <w:rPr>
          <w:color w:val="1f497d"/>
          <w:sz w:val="24"/>
          <w:szCs w:val="24"/>
        </w:rPr>
      </w:pPr>
      <w:r w:rsidDel="00000000" w:rsidR="00000000" w:rsidRPr="00000000">
        <w:rPr>
          <w:rtl w:val="0"/>
        </w:rPr>
      </w:r>
    </w:p>
    <w:tbl>
      <w:tblPr>
        <w:tblStyle w:val="Table6"/>
        <w:tblW w:w="6880.0" w:type="dxa"/>
        <w:jc w:val="left"/>
        <w:tblInd w:w="-23.0" w:type="dxa"/>
        <w:tblLayout w:type="fixed"/>
        <w:tblLook w:val="0400"/>
      </w:tblPr>
      <w:tblGrid>
        <w:gridCol w:w="2680"/>
        <w:gridCol w:w="1400"/>
        <w:gridCol w:w="1400"/>
        <w:gridCol w:w="1400"/>
        <w:tblGridChange w:id="0">
          <w:tblGrid>
            <w:gridCol w:w="2680"/>
            <w:gridCol w:w="1400"/>
            <w:gridCol w:w="1400"/>
            <w:gridCol w:w="1400"/>
          </w:tblGrid>
        </w:tblGridChange>
      </w:tblGrid>
      <w:tr>
        <w:trPr>
          <w:trHeight w:val="240" w:hRule="atLeast"/>
        </w:trPr>
        <w:tc>
          <w:tcPr>
            <w:tcBorders>
              <w:top w:color="000000" w:space="0" w:sz="8" w:val="single"/>
              <w:left w:color="000000" w:space="0" w:sz="8" w:val="single"/>
              <w:bottom w:color="000000" w:space="0" w:sz="0" w:val="nil"/>
              <w:right w:color="000000" w:space="0" w:sz="0" w:val="nil"/>
            </w:tcBorders>
            <w:tcMar>
              <w:top w:w="0.0" w:type="dxa"/>
              <w:left w:w="70.0" w:type="dxa"/>
              <w:bottom w:w="0.0" w:type="dxa"/>
              <w:right w:w="70.0" w:type="dxa"/>
            </w:tcMar>
            <w:vAlign w:val="bottom"/>
          </w:tcPr>
          <w:p w:rsidR="00000000" w:rsidDel="00000000" w:rsidP="00000000" w:rsidRDefault="00000000" w:rsidRPr="00000000" w14:paraId="0000045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Rateizzazione Etna</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0.0" w:type="dxa"/>
              <w:left w:w="70.0" w:type="dxa"/>
              <w:bottom w:w="0.0" w:type="dxa"/>
              <w:right w:w="70.0" w:type="dxa"/>
            </w:tcMar>
            <w:vAlign w:val="bottom"/>
          </w:tcPr>
          <w:p w:rsidR="00000000" w:rsidDel="00000000" w:rsidP="00000000" w:rsidRDefault="00000000" w:rsidRPr="00000000" w14:paraId="00000455">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2019</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0.0" w:type="dxa"/>
              <w:left w:w="70.0" w:type="dxa"/>
              <w:bottom w:w="0.0" w:type="dxa"/>
              <w:right w:w="70.0" w:type="dxa"/>
            </w:tcMar>
            <w:vAlign w:val="bottom"/>
          </w:tcPr>
          <w:p w:rsidR="00000000" w:rsidDel="00000000" w:rsidP="00000000" w:rsidRDefault="00000000" w:rsidRPr="00000000" w14:paraId="00000456">
            <w:pPr>
              <w:spacing w:after="0" w:line="240" w:lineRule="auto"/>
              <w:jc w:val="right"/>
              <w:rPr>
                <w:rFonts w:ascii="Calibri" w:cs="Calibri" w:eastAsia="Calibri" w:hAnsi="Calibri"/>
              </w:rPr>
            </w:pPr>
            <w:r w:rsidDel="00000000" w:rsidR="00000000" w:rsidRPr="00000000">
              <w:rPr>
                <w:b w:val="1"/>
                <w:color w:val="000000"/>
                <w:rtl w:val="0"/>
              </w:rPr>
              <w:t xml:space="preserve">2020</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57">
            <w:pPr>
              <w:spacing w:after="0" w:line="240" w:lineRule="auto"/>
              <w:jc w:val="right"/>
              <w:rPr>
                <w:rFonts w:ascii="Calibri" w:cs="Calibri" w:eastAsia="Calibri" w:hAnsi="Calibri"/>
              </w:rPr>
            </w:pPr>
            <w:r w:rsidDel="00000000" w:rsidR="00000000" w:rsidRPr="00000000">
              <w:rPr>
                <w:b w:val="1"/>
                <w:color w:val="000000"/>
                <w:rtl w:val="0"/>
              </w:rPr>
              <w:t xml:space="preserve">2021</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Mar>
              <w:top w:w="0.0" w:type="dxa"/>
              <w:left w:w="70.0" w:type="dxa"/>
              <w:bottom w:w="0.0" w:type="dxa"/>
              <w:right w:w="70.0" w:type="dxa"/>
            </w:tcMar>
            <w:vAlign w:val="bottom"/>
          </w:tcPr>
          <w:p w:rsidR="00000000" w:rsidDel="00000000" w:rsidP="00000000" w:rsidRDefault="00000000" w:rsidRPr="00000000" w14:paraId="0000045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Irpef</w:t>
            </w: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59">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-1,50 </w:t>
            </w: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5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1,00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5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0,50 </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Mar>
              <w:top w:w="0.0" w:type="dxa"/>
              <w:left w:w="70.0" w:type="dxa"/>
              <w:bottom w:w="0.0" w:type="dxa"/>
              <w:right w:w="70.0" w:type="dxa"/>
            </w:tcMar>
            <w:vAlign w:val="bottom"/>
          </w:tcPr>
          <w:p w:rsidR="00000000" w:rsidDel="00000000" w:rsidP="00000000" w:rsidRDefault="00000000" w:rsidRPr="00000000" w14:paraId="0000045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Ires</w:t>
            </w: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5D">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-0,80 </w:t>
            </w: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5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0,50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5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0,30 </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Mar>
              <w:top w:w="0.0" w:type="dxa"/>
              <w:left w:w="70.0" w:type="dxa"/>
              <w:bottom w:w="0.0" w:type="dxa"/>
              <w:right w:w="70.0" w:type="dxa"/>
            </w:tcMar>
            <w:vAlign w:val="bottom"/>
          </w:tcPr>
          <w:p w:rsidR="00000000" w:rsidDel="00000000" w:rsidP="00000000" w:rsidRDefault="00000000" w:rsidRPr="00000000" w14:paraId="0000046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Irap</w:t>
            </w: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61">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-0,60 </w:t>
            </w: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6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0,40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6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0,20 </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Mar>
              <w:top w:w="0.0" w:type="dxa"/>
              <w:left w:w="70.0" w:type="dxa"/>
              <w:bottom w:w="0.0" w:type="dxa"/>
              <w:right w:w="70.0" w:type="dxa"/>
            </w:tcMar>
            <w:vAlign w:val="bottom"/>
          </w:tcPr>
          <w:p w:rsidR="00000000" w:rsidDel="00000000" w:rsidP="00000000" w:rsidRDefault="00000000" w:rsidRPr="00000000" w14:paraId="0000046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Iva</w:t>
            </w: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65">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-6,00 </w:t>
            </w: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6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4,00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6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2,00 </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Mar>
              <w:top w:w="0.0" w:type="dxa"/>
              <w:left w:w="70.0" w:type="dxa"/>
              <w:bottom w:w="0.0" w:type="dxa"/>
              <w:right w:w="70.0" w:type="dxa"/>
            </w:tcMar>
            <w:vAlign w:val="bottom"/>
          </w:tcPr>
          <w:p w:rsidR="00000000" w:rsidDel="00000000" w:rsidP="00000000" w:rsidRDefault="00000000" w:rsidRPr="00000000" w14:paraId="0000046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Add.reg</w:t>
            </w: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69">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-0,20 </w:t>
            </w: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6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0,13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6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0,07 </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tcMar>
              <w:top w:w="0.0" w:type="dxa"/>
              <w:left w:w="70.0" w:type="dxa"/>
              <w:bottom w:w="0.0" w:type="dxa"/>
              <w:right w:w="70.0" w:type="dxa"/>
            </w:tcMar>
            <w:vAlign w:val="bottom"/>
          </w:tcPr>
          <w:p w:rsidR="00000000" w:rsidDel="00000000" w:rsidP="00000000" w:rsidRDefault="00000000" w:rsidRPr="00000000" w14:paraId="0000046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Add.com</w:t>
            </w: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6D">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-0,10 </w:t>
            </w: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6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0,07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6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0,03 </w:t>
            </w: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0" w:val="nil"/>
            </w:tcBorders>
            <w:tcMar>
              <w:top w:w="0.0" w:type="dxa"/>
              <w:left w:w="70.0" w:type="dxa"/>
              <w:bottom w:w="0.0" w:type="dxa"/>
              <w:right w:w="70.0" w:type="dxa"/>
            </w:tcMar>
            <w:vAlign w:val="bottom"/>
          </w:tcPr>
          <w:p w:rsidR="00000000" w:rsidDel="00000000" w:rsidP="00000000" w:rsidRDefault="00000000" w:rsidRPr="00000000" w14:paraId="0000047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Totale</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70.0" w:type="dxa"/>
              <w:bottom w:w="0.0" w:type="dxa"/>
              <w:right w:w="70.0" w:type="dxa"/>
            </w:tcMar>
            <w:vAlign w:val="bottom"/>
          </w:tcPr>
          <w:p w:rsidR="00000000" w:rsidDel="00000000" w:rsidP="00000000" w:rsidRDefault="00000000" w:rsidRPr="00000000" w14:paraId="00000471">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-9,20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70.0" w:type="dxa"/>
              <w:bottom w:w="0.0" w:type="dxa"/>
              <w:right w:w="70.0" w:type="dxa"/>
            </w:tcMar>
            <w:vAlign w:val="bottom"/>
          </w:tcPr>
          <w:p w:rsidR="00000000" w:rsidDel="00000000" w:rsidP="00000000" w:rsidRDefault="00000000" w:rsidRPr="00000000" w14:paraId="0000047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              6,10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7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              3,10 </w:t>
            </w:r>
            <w:r w:rsidDel="00000000" w:rsidR="00000000" w:rsidRPr="00000000">
              <w:rPr>
                <w:rtl w:val="0"/>
              </w:rPr>
            </w:r>
          </w:p>
        </w:tc>
      </w:tr>
      <w:tr>
        <w:trPr>
          <w:trHeight w:val="240" w:hRule="atLeast"/>
        </w:trPr>
        <w:tc>
          <w:tcPr>
            <w:tcMar>
              <w:top w:w="0.0" w:type="dxa"/>
              <w:left w:w="70.0" w:type="dxa"/>
              <w:bottom w:w="0.0" w:type="dxa"/>
              <w:right w:w="70.0" w:type="dxa"/>
            </w:tcMar>
            <w:vAlign w:val="bottom"/>
          </w:tcPr>
          <w:p w:rsidR="00000000" w:rsidDel="00000000" w:rsidP="00000000" w:rsidRDefault="00000000" w:rsidRPr="00000000" w14:paraId="00000474">
            <w:pPr>
              <w:spacing w:after="0" w:line="240" w:lineRule="auto"/>
              <w:rPr>
                <w:rFonts w:ascii="Times New Roman" w:cs="Times New Roman" w:eastAsia="Times New Roman" w:hAnsi="Times New Roman"/>
                <w:sz w:val="20"/>
                <w:szCs w:val="20"/>
              </w:rPr>
            </w:pP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75">
            <w:pPr>
              <w:spacing w:after="0" w:line="240" w:lineRule="auto"/>
              <w:rPr>
                <w:rFonts w:ascii="Times New Roman" w:cs="Times New Roman" w:eastAsia="Times New Roman" w:hAnsi="Times New Roman"/>
                <w:sz w:val="20"/>
                <w:szCs w:val="20"/>
              </w:rPr>
            </w:pP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76">
            <w:pPr>
              <w:spacing w:after="0" w:line="240" w:lineRule="auto"/>
              <w:rPr>
                <w:rFonts w:ascii="Times New Roman" w:cs="Times New Roman" w:eastAsia="Times New Roman" w:hAnsi="Times New Roman"/>
                <w:sz w:val="20"/>
                <w:szCs w:val="20"/>
              </w:rPr>
            </w:pP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7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tcMar>
              <w:top w:w="0.0" w:type="dxa"/>
              <w:left w:w="70.0" w:type="dxa"/>
              <w:bottom w:w="0.0" w:type="dxa"/>
              <w:right w:w="70.0" w:type="dxa"/>
            </w:tcMar>
            <w:vAlign w:val="bottom"/>
          </w:tcPr>
          <w:p w:rsidR="00000000" w:rsidDel="00000000" w:rsidP="00000000" w:rsidRDefault="00000000" w:rsidRPr="00000000" w14:paraId="0000047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milioni di euro</w:t>
            </w: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79">
            <w:pPr>
              <w:spacing w:after="0" w:line="240" w:lineRule="auto"/>
              <w:rPr>
                <w:rFonts w:ascii="Times New Roman" w:cs="Times New Roman" w:eastAsia="Times New Roman" w:hAnsi="Times New Roman"/>
                <w:sz w:val="20"/>
                <w:szCs w:val="20"/>
              </w:rPr>
            </w:pP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7A">
            <w:pPr>
              <w:spacing w:after="0" w:line="240" w:lineRule="auto"/>
              <w:rPr>
                <w:rFonts w:ascii="Times New Roman" w:cs="Times New Roman" w:eastAsia="Times New Roman" w:hAnsi="Times New Roman"/>
                <w:sz w:val="20"/>
                <w:szCs w:val="20"/>
              </w:rPr>
            </w:pPr>
            <w:r w:rsidDel="00000000" w:rsidR="00000000" w:rsidRPr="00000000">
              <w:rPr>
                <w:rtl w:val="0"/>
              </w:rPr>
            </w:r>
          </w:p>
        </w:tc>
        <w:tc>
          <w:tcPr>
            <w:tcMar>
              <w:top w:w="0.0" w:type="dxa"/>
              <w:left w:w="70.0" w:type="dxa"/>
              <w:bottom w:w="0.0" w:type="dxa"/>
              <w:right w:w="70.0" w:type="dxa"/>
            </w:tcMar>
            <w:vAlign w:val="bottom"/>
          </w:tcPr>
          <w:p w:rsidR="00000000" w:rsidDel="00000000" w:rsidP="00000000" w:rsidRDefault="00000000" w:rsidRPr="00000000" w14:paraId="0000047B">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47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D">
      <w:pPr>
        <w:spacing w:after="0" w:lineRule="auto"/>
        <w:ind w:left="567" w:hanging="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E">
      <w:pPr>
        <w:spacing w:after="0" w:lineRule="auto"/>
        <w:ind w:left="567" w:hanging="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35</w:t>
      </w:r>
    </w:p>
    <w:p w:rsidR="00000000" w:rsidDel="00000000" w:rsidP="00000000" w:rsidRDefault="00000000" w:rsidRPr="00000000" w14:paraId="0000047F">
      <w:pPr>
        <w:spacing w:after="0" w:lineRule="auto"/>
        <w:ind w:left="567" w:hanging="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Compartecipazione comunale al gettito accertato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80">
      <w:pPr>
        <w:spacing w:after="0" w:lineRule="auto"/>
        <w:ind w:left="567" w:hanging="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1, comma 12-bis del decreto-legge 13 agosto 2011, n. 138, convertito, con modificazioni, dalla legge 14 settembre 2011, n. 148, le parole “per gli anni dal 2012 al 2019” sono sostituite dalle seguenti: “per gli anni dal 2012 al 2021”.</w:t>
      </w:r>
    </w:p>
    <w:p w:rsidR="00000000" w:rsidDel="00000000" w:rsidP="00000000" w:rsidRDefault="00000000" w:rsidRPr="00000000" w14:paraId="0000048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4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in esame proroga all’anno 2021 l’attribuzione ai comuni di un contributo nella misura del 100% delle somme riscosse a titolo di accertamento nell’anno precedente a seguito delle segnalazioni qualificate trasmesse dagli stessi enti.</w:t>
      </w:r>
    </w:p>
    <w:p w:rsidR="00000000" w:rsidDel="00000000" w:rsidP="00000000" w:rsidRDefault="00000000" w:rsidRPr="00000000" w14:paraId="0000048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 </w:t>
      </w:r>
    </w:p>
    <w:p w:rsidR="00000000" w:rsidDel="00000000" w:rsidP="00000000" w:rsidRDefault="00000000" w:rsidRPr="00000000" w14:paraId="000004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in esame proroga all’anno 2021 l’attribuzione ai comuni di un contributo nella misura del 100% delle somme riscosse a titolo di accertamento nell’anno precedente a seguito delle segnalazioni qualificate trasmesse dagli stessi enti.</w:t>
      </w:r>
    </w:p>
    <w:p w:rsidR="00000000" w:rsidDel="00000000" w:rsidP="00000000" w:rsidRDefault="00000000" w:rsidRPr="00000000" w14:paraId="000004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riguardo si rileva che lo stanziamento previsto fino all’anno 2022 sul pertinente capitolo di spesa 1345 dello stato di previsione del Ministero dell’Interno, pari a 17 milioni di euro, risulta congruo rispetto all’ipotesi prevista considerato che il contributo effettivamente erogato negli ultimi anni è risultato inferiore allo stesso stanziamento (11,4 milioni nell’anno 2017, 13,3 milioni negli anni 2018 e 2019). Pertanto alla proposta in esame non si ascrivono effetti finanziari.</w:t>
      </w:r>
    </w:p>
    <w:p w:rsidR="00000000" w:rsidDel="00000000" w:rsidP="00000000" w:rsidRDefault="00000000" w:rsidRPr="00000000" w14:paraId="0000048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8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36</w:t>
      </w:r>
    </w:p>
    <w:p w:rsidR="00000000" w:rsidDel="00000000" w:rsidP="00000000" w:rsidRDefault="00000000" w:rsidRPr="00000000" w14:paraId="0000048B">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Modifiche all’articolo 96 del TUIR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48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96 del testo unico delle imposte sui redditi, di cui al decreto del Presidente della Repubblica 22 dicembre 1986, n. 917, il comma 11 è sostituito dal seguente: “11. Ai fini dei commi da 8 a 10: </w:t>
      </w:r>
    </w:p>
    <w:p w:rsidR="00000000" w:rsidDel="00000000" w:rsidP="00000000" w:rsidRDefault="00000000" w:rsidRPr="00000000" w14:paraId="0000048E">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 progetto infrastrutturale pubblico a lungo termine si intende il progetto rientrante tra quelli cui si applicano le disposizioni della Parte V del decreto legislativo 18 aprile 2016, n. 50;</w:t>
      </w:r>
    </w:p>
    <w:p w:rsidR="00000000" w:rsidDel="00000000" w:rsidP="00000000" w:rsidRDefault="00000000" w:rsidRPr="00000000" w14:paraId="0000048F">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nel caso di costituzione di una società di progetto strumentale alla segregazione patrimoniale rispetto ad attività e passività non afferenti al progetto infrastrutturale medesimo sono integralmente deducibili gli interessi passivi e oneri finanziari relativi ai prestiti stipulati dalla società di progetto anche qualora assistiti da garanzie diverse da quelle di cui al comma 8, lettera a) utilizzati per finanziare progetti infrastrutturali pubblici di cui alle Parti III, IV e V, del decreto legislativo 18 aprile 2016, n. 50.”.</w:t>
      </w:r>
    </w:p>
    <w:p w:rsidR="00000000" w:rsidDel="00000000" w:rsidP="00000000" w:rsidRDefault="00000000" w:rsidRPr="00000000" w14:paraId="0000049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49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L’articolo (X) intende meglio definire, con specifico riferimento alle società di progetto, l’ambito oggettivo di esclusione dai limiti di deducibilità contenuti nell’articolo 96 del TUIR degli interessi passivi relativi a prestiti utilizzati per finanziare progetti infrastrutturali pubblici a lungo termine.</w:t>
      </w:r>
    </w:p>
    <w:p w:rsidR="00000000" w:rsidDel="00000000" w:rsidP="00000000" w:rsidRDefault="00000000" w:rsidRPr="00000000" w14:paraId="000004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noto, l’articolo 96 del TUIR detta disposizioni limitative in materia di deducibilità degli interessi passivi.</w:t>
      </w:r>
    </w:p>
    <w:p w:rsidR="00000000" w:rsidDel="00000000" w:rsidP="00000000" w:rsidRDefault="00000000" w:rsidRPr="00000000" w14:paraId="0000049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Tuttavia, il comma 8 del citato articolo 96 esclude da tali limiti di deducibilità, a determinate condizioni, gli interessi passivi relativi a prestiti utilizzati per finanziare i “progetti infrastrutturali pubblici a lungo termine”, come individuati dal successivo comma 11 mediante rinvio alla Parte V del Codice degli Appalti, consentendone, quindi, l’integrale deduzione.</w:t>
      </w:r>
    </w:p>
    <w:p w:rsidR="00000000" w:rsidDel="00000000" w:rsidP="00000000" w:rsidRDefault="00000000" w:rsidRPr="00000000" w14:paraId="0000049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w:t>
      </w:r>
    </w:p>
    <w:p w:rsidR="00000000" w:rsidDel="00000000" w:rsidP="00000000" w:rsidRDefault="00000000" w:rsidRPr="00000000" w14:paraId="0000049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secondo il comma 8 dell’articolo 96 del TUIR, i limiti alla deducibilità degli interessi passivi previsti dai commi precedenti non si applicano agli interessi passivi e agli oneri finanziari assimilati relativi a prestiti utilizzati per finanziare un progetto infrastrutturale pubblico a lungo termine per i quali è, tra le altre, rispettata la seguente condizione: non sono garantiti né da beni appartenenti al gestore del progetto infrastrutturale pubblico diversi da quelli afferenti al progetto infrastrutturale stesso né da soggetti diversi dal gestore del progetto infrastrutturale pubblico;</w:t>
      </w:r>
    </w:p>
    <w:p w:rsidR="00000000" w:rsidDel="00000000" w:rsidP="00000000" w:rsidRDefault="00000000" w:rsidRPr="00000000" w14:paraId="0000049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ai sensi del successivo comma 9 dell’articolo 96, se il progetto infrastrutturale pubblico a lungo termine è caratterizzato da un regime di segregazione patrimoniale rispetto alle altre attività e passività del gestore o il prestito utilizzato per finanziare tale progetto è rimborsato esclusivamente con i flussi finanziari attivi generati dal progetto stesso, gli interessi passivi e oneri finanziari assimilati esclusi dai limiti di deducibilità, sono quelli che maturano sui prestiti oggetto di segregazione patrimoniale o su quelli destinati esclusivamente al finanziamento del progetto e rimborsati solo con i flussi generati da esso.</w:t>
      </w:r>
    </w:p>
    <w:p w:rsidR="00000000" w:rsidDel="00000000" w:rsidP="00000000" w:rsidRDefault="00000000" w:rsidRPr="00000000" w14:paraId="0000049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Ciò premesso, considerato che in numerose circostanze:</w:t>
      </w:r>
    </w:p>
    <w:p w:rsidR="00000000" w:rsidDel="00000000" w:rsidP="00000000" w:rsidRDefault="00000000" w:rsidRPr="00000000" w14:paraId="0000049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il finanziamento dei progetti infrastrutturali pubblici di interesse generale è attuato attraverso gli schemi operativi tipici della finanza di progetto, che prevedono la costituzione, da parte dell’aggiudicatario della gara pubblica, di una “società di progetto”, al fine di effettuare la “segregazione patrimoniale” del progetto rispetto alle altre attività e passività;</w:t>
      </w:r>
    </w:p>
    <w:p w:rsidR="00000000" w:rsidDel="00000000" w:rsidP="00000000" w:rsidRDefault="00000000" w:rsidRPr="00000000" w14:paraId="0000049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le società di progetto possono essere costituite anche al fine di realizzare gli interventi inseriti nel Piano triennale dei lavori pubblici, di cui all’articolo 21, comma 3, del D.Lgs. n. 50 del 2016 (Codice degli appalti);</w:t>
      </w:r>
    </w:p>
    <w:p w:rsidR="00000000" w:rsidDel="00000000" w:rsidP="00000000" w:rsidRDefault="00000000" w:rsidRPr="00000000" w14:paraId="0000049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i finanziamenti alla società di progetto, nella prassi di mercato, sono garantiti da varie forme che confluiscono nel c.d. “security package” e sono, comunque, richieste a fronte di prestiti destinati a finanziare esclusivamente il progetto infrastrutturale pubblico;</w:t>
      </w:r>
    </w:p>
    <w:p w:rsidR="00000000" w:rsidDel="00000000" w:rsidP="00000000" w:rsidRDefault="00000000" w:rsidRPr="00000000" w14:paraId="0000049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l’articolo in esame mira a stabilire che le società di progetto possono dedurre integralmente gli interessi passivi e gli oneri finanziari anche se relativi a prestiti assistiti da garanzie diverse da quelle strettamente previste dalla lettera a) del comma 8 dell’articolo 96 del TUIR (secondo cui i prestiti devono essere garantiti da beni appartenenti al gestore del progetto afferenti al progetto stesso) utilizzati per finanziare progetti infrastrutturali pubblici, non solo rientranti nella parte V del Codice degli appalti, ma anche nelle Parti III e IV dello stesso Codice concernenti i contratti di concessione e di partenariato pubblico privato. </w:t>
      </w:r>
    </w:p>
    <w:p w:rsidR="00000000" w:rsidDel="00000000" w:rsidP="00000000" w:rsidRDefault="00000000" w:rsidRPr="00000000" w14:paraId="0000049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49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delinea, con specifico riferimento alle società di progetto, l’ambito oggettivo di esclusione dai limiti di deducibilità contenuti nell’articolo 96 del Tuir degli interessi passivi relativi a prestiti utilizzati per finanziare progetti infrastrutturali pubblici a lungo termine. In particolare si esplicita che i requisiti per l’esclusione dall’applicazione dei limiti di deducibilità previsti dall’articolo 96 del Tuir si intendono rispettati anche nel caso in cui i prestiti siano assistiti da garanzie diverse da quelle strettamente previste dalla lettera a) del comma 8 dell’articolo 96 del TUIR utilizzati per finanziare progetti infrastrutturali pubblici, non solo rientranti nella parte V del Codice degli appalti, ma anche quelli delle Parti III e IV dello stesso Codice concernenti i contratti di concessione e di partenariato pubblico privato.</w:t>
      </w:r>
    </w:p>
    <w:p w:rsidR="00000000" w:rsidDel="00000000" w:rsidP="00000000" w:rsidRDefault="00000000" w:rsidRPr="00000000" w14:paraId="000004A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riguardo, sotto l’aspetto strettamente finanziario, si stima che dalla stessa non derivano ulteriori effetti rispetto quanto già indicato nella relazione tecnica alla norma originaria.</w:t>
      </w:r>
    </w:p>
    <w:p w:rsidR="00000000" w:rsidDel="00000000" w:rsidP="00000000" w:rsidRDefault="00000000" w:rsidRPr="00000000" w14:paraId="000004A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A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37</w:t>
      </w:r>
    </w:p>
    <w:p w:rsidR="00000000" w:rsidDel="00000000" w:rsidP="00000000" w:rsidRDefault="00000000" w:rsidRPr="00000000" w14:paraId="000004A3">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Incentivi Conto Energia)</w:t>
      </w:r>
    </w:p>
    <w:p w:rsidR="00000000" w:rsidDel="00000000" w:rsidP="00000000" w:rsidRDefault="00000000" w:rsidRPr="00000000" w14:paraId="000004A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 caso di cumulo degli incentivi alla produzione di energia elettrica da impianti fotovoltaici di cui ai decreti del Ministro dello sviluppo economico, di concerto con il Ministro dell’ambiente e della tutela del territorio e del mare, 6 agosto 2010, 5 maggio 2011 e 5 luglio 2012 con il sistema di detassazione per investimenti ambientali realizzati da piccole e medie imprese previsto dall’articolo 6, commi da 13 a 19, della legge 23 dicembre 2000, n. 388, il contribuente ha facoltà di avvalersi di quanto previsto dal comma 2.</w:t>
      </w:r>
    </w:p>
    <w:p w:rsidR="00000000" w:rsidDel="00000000" w:rsidP="00000000" w:rsidRDefault="00000000" w:rsidRPr="00000000" w14:paraId="000004A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Il mantenimento del diritto a beneficiare delle tariffe incentivanti riconosciute dal Gestore dei Servizi Energetici alla produzione di energia elettrica è subordinato al pagamento di una somma determinata applicando alla variazione in diminuzione effettuata in dichiarazione relativa alla detassazione per investimenti ambientali l’aliquota d’imposta pro tempore vigente.</w:t>
      </w:r>
    </w:p>
    <w:p w:rsidR="00000000" w:rsidDel="00000000" w:rsidP="00000000" w:rsidRDefault="00000000" w:rsidRPr="00000000" w14:paraId="000004A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 soggetti che intendono avvalersi della definizione di cui al comma 2 devono presentare apposita comunicazione all'Agenzia delle entrate. Le modalità di presentazione e il contenuto della comunicazione sono stabiliti con provvedimento del Direttore dell'Agenzia medesima, da emanare entro sessanta giorni dalla data di pubblicazione della presente legge nella Gazzetta Ufficiale. </w:t>
      </w:r>
    </w:p>
    <w:p w:rsidR="00000000" w:rsidDel="00000000" w:rsidP="00000000" w:rsidRDefault="00000000" w:rsidRPr="00000000" w14:paraId="000004A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Nella comunicazione di cui al comma 3 il contribuente indica l'eventuale pendenza di giudizi aventi ad oggetto il recupero delle agevolazioni non spettanti in virtù del divieto di cumulo di cui al comma 1 e assume l'impegno a rinunciare agli stessi giudizi, che, dietro presentazione di copia della comunicazione e nelle more del pagamento delle somme dovute, sono sospesi dal giudice. L'estinzione del giudizio è subordinata all'effettivo perfezionamento della definizione e alla produzione, nello stesso giudizio, della documentazione attestante i pagamenti effettuati; in caso contrario, il giudice revoca la sospensione su istanza di una delle parti.</w:t>
      </w:r>
    </w:p>
    <w:p w:rsidR="00000000" w:rsidDel="00000000" w:rsidP="00000000" w:rsidRDefault="00000000" w:rsidRPr="00000000" w14:paraId="000004A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La definizione si perfeziona con la presentazione della comunicazione di cui al comma 3 e con il pagamento degli importi dovuti ai sensi del presente articolo entro il 30 giugno 2020.</w:t>
      </w:r>
    </w:p>
    <w:p w:rsidR="00000000" w:rsidDel="00000000" w:rsidP="00000000" w:rsidRDefault="00000000" w:rsidRPr="00000000" w14:paraId="000004A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4AD">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A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L’intervento normativo in esame è finalizzato a superare le problematiche applicative derivanti dal divieto di cumulo delle agevolazioni inerenti la produzione di energia elettrica da impianti fotovoltaici con la detassazione fiscale di cui all’articolo 6, commi da 13 a 19, della legge 23 dicembre 2000, n. 388 (c.d. “Tremonti ambiente”).</w:t>
      </w:r>
    </w:p>
    <w:p w:rsidR="00000000" w:rsidDel="00000000" w:rsidP="00000000" w:rsidRDefault="00000000" w:rsidRPr="00000000" w14:paraId="000004A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la questione trae origine dal comunicato stampa del 22 novembre 2017 con il quale il Gestore dei Servizi Energetici (GSE) – titolare del procedimento amministrativo di concessione e revoca delle tariffe incentivanti di cui ai decreti del Ministro dello sviluppo economico 6 agosto 2010, 5 maggio 2011 e 5 luglio 2012 – ha definitivamente chiarito che “la detassazione di cui alla Tremonti ambiente non è cumulabile in alcuna misura con le tariffe incentivanti spettanti ai sensi del III, IV e V Conto Energia. Pertanto, in considerazione del previsto divieto di cumulo e della peculiarità del caso in esame, che ha richiesto una norma interpretativa si specifica che, nell’ipotesi di voler continuare a godere delle tariffe incentivanti del III, IV e V Conto Energia, è necessario che il Soggetto Responsabile rinunci al beneficio fiscale goduto”.</w:t>
      </w:r>
    </w:p>
    <w:p w:rsidR="00000000" w:rsidDel="00000000" w:rsidP="00000000" w:rsidRDefault="00000000" w:rsidRPr="00000000" w14:paraId="000004B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tali ragioni, la disposizione – anche al fine di superare i numerosi contenziosi che si sono instaurati sia in ambito amministrativo sia in ambito tributario – definisce la procedura diretta a consentire al contribuente di mantenere il diritto a beneficiare delle tariffe incentivanti versando una somma parametrata alla variazione in diminuzione effettuata in dichiarazione dei redditi.</w:t>
      </w:r>
    </w:p>
    <w:p w:rsidR="00000000" w:rsidDel="00000000" w:rsidP="00000000" w:rsidRDefault="00000000" w:rsidRPr="00000000" w14:paraId="000004B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tal fine, i soggetti che intendono avvalersi della citata definizione devono presentare una apposita comunicazione all'Agenzia delle entrate le cui modalità e il cui contenuto sono stabiliti con provvedimento del Direttore dell'Agenzia medesima e provvedere al pagamento degli importi dovuti entro il termine del 30 giugno 2020.</w:t>
      </w:r>
    </w:p>
    <w:p w:rsidR="00000000" w:rsidDel="00000000" w:rsidP="00000000" w:rsidRDefault="00000000" w:rsidRPr="00000000" w14:paraId="000004B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perfezionamento della definizione comporta l’estinzione di eventuali giudizi pendenti aventi ad oggetto il recupero delle agevolazioni non spettanti.</w:t>
      </w:r>
    </w:p>
    <w:p w:rsidR="00000000" w:rsidDel="00000000" w:rsidP="00000000" w:rsidRDefault="00000000" w:rsidRPr="00000000" w14:paraId="000004B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4B5">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B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in esame è finalizzata a superare le problematiche applicative derivanti dal divieto di cumulo delle agevolazioni inerenti la produzione di energia elettrica da impianti fotovoltaici con la detassazione fiscale di cui all’articolo 6, commi da 13 a 19, della legge 23 dicembre 2000, n. 388 (c.d. “Tremonti ambiente”).</w:t>
      </w:r>
    </w:p>
    <w:p w:rsidR="00000000" w:rsidDel="00000000" w:rsidP="00000000" w:rsidRDefault="00000000" w:rsidRPr="00000000" w14:paraId="000004B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la disposizione prevede che il mantenimento del diritto a beneficiare delle tariffe incentivanti riconosciute dal Gestore dei Servizi Energetici alla produzione di energia elettrica è subordinato al pagamento di una somma determinata applicando alla variazione in diminuzione effettuata in dichiarazione relativa alla detassazione per investimenti ambientali l’aliquota d’imposta pro tempore vigente.</w:t>
      </w:r>
    </w:p>
    <w:p w:rsidR="00000000" w:rsidDel="00000000" w:rsidP="00000000" w:rsidRDefault="00000000" w:rsidRPr="00000000" w14:paraId="000004B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B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Sulla base dei dati dichiarativi per gli anni di imposta per cui è individuabile l’informazione specifica per gli investimenti ambientali, l’ammontare delle variazioni in diminuzione presenta una media annua (ponderata per il numero di contribuenti) pari a circa 85,5 milioni di euro. Con una aliquota media del 24% (per tenere conto delle aliquote allora vigenti), l’agevolazione ha prodotto un risparmio annuo di circa 20,5 milioni di euro (85,5 X 24%)</w:t>
      </w:r>
    </w:p>
    <w:p w:rsidR="00000000" w:rsidDel="00000000" w:rsidP="00000000" w:rsidRDefault="00000000" w:rsidRPr="00000000" w14:paraId="000004B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riguardo, si stima che la misura in esame comporta un recupero di gettito di circa 123 milioni di euro per il 2020. Il recupero è calcolato moltiplicando l’importo annuo (20,5 milioni di euro) per il 50% dei contribuenti per 12 anni (periodo temporale di vigenza dell’agevolazione).</w:t>
      </w:r>
    </w:p>
    <w:p w:rsidR="00000000" w:rsidDel="00000000" w:rsidP="00000000" w:rsidRDefault="00000000" w:rsidRPr="00000000" w14:paraId="000004B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38</w:t>
      </w:r>
    </w:p>
    <w:p w:rsidR="00000000" w:rsidDel="00000000" w:rsidP="00000000" w:rsidRDefault="00000000" w:rsidRPr="00000000" w14:paraId="000004BE">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Imposta sui servizi digitali)</w:t>
      </w:r>
    </w:p>
    <w:p w:rsidR="00000000" w:rsidDel="00000000" w:rsidP="00000000" w:rsidRDefault="00000000" w:rsidRPr="00000000" w14:paraId="000004BF">
      <w:pPr>
        <w:spacing w:after="0" w:lineRule="auto"/>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4C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1 della legge 30 dicembre 2018, n. 145, sono apportate le seguenti modificazioni:</w:t>
      </w:r>
    </w:p>
    <w:p w:rsidR="00000000" w:rsidDel="00000000" w:rsidP="00000000" w:rsidRDefault="00000000" w:rsidRPr="00000000" w14:paraId="000004C1">
      <w:pPr>
        <w:spacing w:after="0" w:lineRule="auto"/>
        <w:ind w:firstLine="708"/>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dopo il comma 35 è aggiunto il seguente: “35-bis. L’imposta si applica sui ricavi derivanti dalla fornitura dei servizi di cui al comma 37, realizzati dai soggetti di cui al comma 36, nel corso dell’anno solare”;</w:t>
      </w:r>
      <w:r w:rsidDel="00000000" w:rsidR="00000000" w:rsidRPr="00000000">
        <w:rPr>
          <w:rtl w:val="0"/>
        </w:rPr>
      </w:r>
    </w:p>
    <w:p w:rsidR="00000000" w:rsidDel="00000000" w:rsidP="00000000" w:rsidRDefault="00000000" w:rsidRPr="00000000" w14:paraId="000004C2">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al comma 36, le parole “nel corso di un anno solare” sono sostituite dalle seguenti: “nell’anno solare precedente a quello di cui al comma 35-bis”;</w:t>
      </w:r>
    </w:p>
    <w:p w:rsidR="00000000" w:rsidDel="00000000" w:rsidP="00000000" w:rsidRDefault="00000000" w:rsidRPr="00000000" w14:paraId="000004C3">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dopo il comma 37 è aggiunto il seguente: “37-bis. Non si considerano servizi digitali di cui al comma 37:</w:t>
      </w:r>
    </w:p>
    <w:p w:rsidR="00000000" w:rsidDel="00000000" w:rsidP="00000000" w:rsidRDefault="00000000" w:rsidRPr="00000000" w14:paraId="000004C4">
      <w:pPr>
        <w:spacing w:after="0" w:lineRule="auto"/>
        <w:ind w:left="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messa a disposizione di un interfaccia digitale il cui scopo esclusivo o principale è quello della fornitura agli utenti dell’interfaccia da parte del soggetto che gestisce l’interfaccia stessa di: contenuti digitali, servizi di comunicazione o servizi di pagamento;</w:t>
      </w:r>
    </w:p>
    <w:p w:rsidR="00000000" w:rsidDel="00000000" w:rsidP="00000000" w:rsidRDefault="00000000" w:rsidRPr="00000000" w14:paraId="000004C5">
      <w:pPr>
        <w:spacing w:after="0" w:lineRule="auto"/>
        <w:ind w:left="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 fornitura di servizi finanziari regolamentati da parte di entità finanziarie regolamentate;</w:t>
      </w:r>
    </w:p>
    <w:p w:rsidR="00000000" w:rsidDel="00000000" w:rsidP="00000000" w:rsidRDefault="00000000" w:rsidRPr="00000000" w14:paraId="000004C6">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 cessione di dati da parte dei soggetti indicati alla precedente lettera b).</w:t>
      </w:r>
    </w:p>
    <w:p w:rsidR="00000000" w:rsidDel="00000000" w:rsidP="00000000" w:rsidRDefault="00000000" w:rsidRPr="00000000" w14:paraId="000004C7">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dopo il comma 40 è inserito il seguente: “40-bis. Ai fini della localizzazione dell’utente sul territorio dello Stato, il dispositivo si considera utilizzato nel territorio dello Stato con riferimento principalmente all’indirizzo di protocollo internet (IP) del dispositivo stesso o ad altro sistema di geolocalizzazione.”</w:t>
      </w:r>
    </w:p>
    <w:p w:rsidR="00000000" w:rsidDel="00000000" w:rsidP="00000000" w:rsidRDefault="00000000" w:rsidRPr="00000000" w14:paraId="000004C8">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al comma 41, le parole: “in ciascun trimestre” sono sostituite dalle seguenti: “nel corso dell’anno solare”;</w:t>
      </w:r>
    </w:p>
    <w:p w:rsidR="00000000" w:rsidDel="00000000" w:rsidP="00000000" w:rsidRDefault="00000000" w:rsidRPr="00000000" w14:paraId="000004C9">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il comma 42 è sostituito dal seguente: “42. I soggetti passivi sono tenuti al versamento dell’imposta entro il 16 marzo dell’anno solare successivo a quello di cui al comma 35-bis. I medesimi soggetti sono tenuti alla presentazione della dichiarazione annuale dell’ammontare dei servizi tassabili forniti, entro il 30 giugno dello stesso anno. Per le società appartenenti al medesimo gruppo, per l’assolvimento degli obblighi derivanti dalle disposizioni relative all’imposta sui servizi digitali è nominata una singola società del gruppo”;</w:t>
      </w:r>
    </w:p>
    <w:p w:rsidR="00000000" w:rsidDel="00000000" w:rsidP="00000000" w:rsidRDefault="00000000" w:rsidRPr="00000000" w14:paraId="000004CA">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il comma 45 è abrogato;</w:t>
      </w:r>
    </w:p>
    <w:p w:rsidR="00000000" w:rsidDel="00000000" w:rsidP="00000000" w:rsidRDefault="00000000" w:rsidRPr="00000000" w14:paraId="000004CB">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il comma 47 è sostituito dal seguente: “47. Le disposizioni relative all’imposta sui servizi digitali si applicano a decorrere dal 1° gennaio 2020”; </w:t>
      </w:r>
    </w:p>
    <w:p w:rsidR="00000000" w:rsidDel="00000000" w:rsidP="00000000" w:rsidRDefault="00000000" w:rsidRPr="00000000" w14:paraId="000004CC">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 comma 48, le parole “nei commi da 35 a 50” sono sostituite dalle seguenti: “nei commi da 35 a 50-bis”;</w:t>
      </w:r>
    </w:p>
    <w:p w:rsidR="00000000" w:rsidDel="00000000" w:rsidP="00000000" w:rsidRDefault="00000000" w:rsidRPr="00000000" w14:paraId="000004CD">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dopo il comma 50 aggiungere il seguente: “50-bis. I commi da 35 a 50 dell’articolo 1 della legge 30 dicembre 2018, n. 145 sono abrogati al momento di entrata in vigore delle disposizioni che deriveranno da accordi raggiunti nelle sedi internazionali in materia di tassazione dell’economia digitale”.”.</w:t>
      </w:r>
    </w:p>
    <w:p w:rsidR="00000000" w:rsidDel="00000000" w:rsidP="00000000" w:rsidRDefault="00000000" w:rsidRPr="00000000" w14:paraId="000004C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4D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commi da 35 a 50 della legge 30 dicembre 2018, n. 145 (c.d. legge di bilancio per il 2019), hanno introdotto un’imposta sui servizi digitali del 3 per cento sui ricavi derivanti da determinati servizi digitali realizzati da soggetti esercenti attività d’impresa. La suddetta disciplina italiana si ispira alla proposta di Direttiva COM (2018) 148 </w:t>
      </w:r>
      <w:r w:rsidDel="00000000" w:rsidR="00000000" w:rsidRPr="00000000">
        <w:rPr>
          <w:rFonts w:ascii="Times New Roman" w:cs="Times New Roman" w:eastAsia="Times New Roman" w:hAnsi="Times New Roman"/>
          <w:i w:val="1"/>
          <w:sz w:val="24"/>
          <w:szCs w:val="24"/>
          <w:rtl w:val="0"/>
        </w:rPr>
        <w:t xml:space="preserve">final </w:t>
      </w:r>
      <w:r w:rsidDel="00000000" w:rsidR="00000000" w:rsidRPr="00000000">
        <w:rPr>
          <w:rFonts w:ascii="Times New Roman" w:cs="Times New Roman" w:eastAsia="Times New Roman" w:hAnsi="Times New Roman"/>
          <w:sz w:val="24"/>
          <w:szCs w:val="24"/>
          <w:rtl w:val="0"/>
        </w:rPr>
        <w:t xml:space="preserve">presentata lo scorso 21 marzo 2018 nell’ambito di un pacchetto di misure per la tassazione equa dell’economia digitale predisposto dalla Commissione UE in attesa di soluzioni definitive di carattere internazionale (OCSE). </w:t>
      </w:r>
    </w:p>
    <w:p w:rsidR="00000000" w:rsidDel="00000000" w:rsidP="00000000" w:rsidRDefault="00000000" w:rsidRPr="00000000" w14:paraId="000004D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L’intervento legislativo in esame stabilisce che:</w:t>
      </w:r>
    </w:p>
    <w:p w:rsidR="00000000" w:rsidDel="00000000" w:rsidP="00000000" w:rsidRDefault="00000000" w:rsidRPr="00000000" w14:paraId="000004D2">
      <w:pPr>
        <w:numPr>
          <w:ilvl w:val="0"/>
          <w:numId w:val="1"/>
        </w:numPr>
        <w:spacing w:after="0" w:lineRule="auto"/>
        <w:ind w:left="1287" w:hanging="36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ai fini del computo delle soglie di ricavi il cui superamento consente l’individuazione dei soggetti passivi dell’imposta, vanno considerati i ricavi conseguiti nell’anno precedente a quello di riferimento; (si tratta delle </w:t>
      </w:r>
      <w:r w:rsidDel="00000000" w:rsidR="00000000" w:rsidRPr="00000000">
        <w:rPr>
          <w:rFonts w:ascii="Times New Roman" w:cs="Times New Roman" w:eastAsia="Times New Roman" w:hAnsi="Times New Roman"/>
          <w:b w:val="1"/>
          <w:i w:val="1"/>
          <w:sz w:val="24"/>
          <w:szCs w:val="24"/>
          <w:rtl w:val="0"/>
        </w:rPr>
        <w:t xml:space="preserve">modifiche di cui alle lett. a) e b));</w:t>
      </w:r>
      <w:r w:rsidDel="00000000" w:rsidR="00000000" w:rsidRPr="00000000">
        <w:rPr>
          <w:rtl w:val="0"/>
        </w:rPr>
      </w:r>
    </w:p>
    <w:p w:rsidR="00000000" w:rsidDel="00000000" w:rsidP="00000000" w:rsidRDefault="00000000" w:rsidRPr="00000000" w14:paraId="000004D3">
      <w:pPr>
        <w:numPr>
          <w:ilvl w:val="0"/>
          <w:numId w:val="1"/>
        </w:numPr>
        <w:spacing w:after="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l’imposta si applica sui ricavi realizzati nell’anno solare, a decorrere dal 2020; (si tratta delle </w:t>
      </w:r>
      <w:r w:rsidDel="00000000" w:rsidR="00000000" w:rsidRPr="00000000">
        <w:rPr>
          <w:rFonts w:ascii="Times New Roman" w:cs="Times New Roman" w:eastAsia="Times New Roman" w:hAnsi="Times New Roman"/>
          <w:b w:val="1"/>
          <w:i w:val="1"/>
          <w:sz w:val="24"/>
          <w:szCs w:val="24"/>
          <w:rtl w:val="0"/>
        </w:rPr>
        <w:t xml:space="preserve">modifiche di cui alle lett. e), f), h) e 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D4">
      <w:pPr>
        <w:numPr>
          <w:ilvl w:val="0"/>
          <w:numId w:val="1"/>
        </w:numPr>
        <w:spacing w:after="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è necessaria l’emanazione di un apposito decreto ministeriale per l’applicazione della normativa in esame; (si tratta delle </w:t>
      </w:r>
      <w:r w:rsidDel="00000000" w:rsidR="00000000" w:rsidRPr="00000000">
        <w:rPr>
          <w:rFonts w:ascii="Times New Roman" w:cs="Times New Roman" w:eastAsia="Times New Roman" w:hAnsi="Times New Roman"/>
          <w:b w:val="1"/>
          <w:i w:val="1"/>
          <w:sz w:val="24"/>
          <w:szCs w:val="24"/>
          <w:rtl w:val="0"/>
        </w:rPr>
        <w:t xml:space="preserve">modifiche di cui alla lett. 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D5">
      <w:pPr>
        <w:numPr>
          <w:ilvl w:val="0"/>
          <w:numId w:val="1"/>
        </w:numPr>
        <w:spacing w:after="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sono delle esclusioni dal novero delle fattispecie imponibili individuate nel comma 37 dell’art. 1 della citata n. 145 del 2018; (si tratta della </w:t>
      </w:r>
      <w:r w:rsidDel="00000000" w:rsidR="00000000" w:rsidRPr="00000000">
        <w:rPr>
          <w:rFonts w:ascii="Times New Roman" w:cs="Times New Roman" w:eastAsia="Times New Roman" w:hAnsi="Times New Roman"/>
          <w:b w:val="1"/>
          <w:i w:val="1"/>
          <w:sz w:val="24"/>
          <w:szCs w:val="24"/>
          <w:rtl w:val="0"/>
        </w:rPr>
        <w:t xml:space="preserve">modifica di cui alla lett. 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D6">
      <w:pPr>
        <w:numPr>
          <w:ilvl w:val="0"/>
          <w:numId w:val="1"/>
        </w:numPr>
        <w:spacing w:after="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riguarda l’identificazione del criterio in base al quale il dispositivo dell’utente si considera utilizzato nel territorio dello Stato, va fatto riferimento principalmente all’indirizzo di protocollo internet (IP) del dispositivo stesso o ad altro sistema di geolocalizzazione;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si tratta della</w:t>
      </w:r>
      <w:r w:rsidDel="00000000" w:rsidR="00000000" w:rsidRPr="00000000">
        <w:rPr>
          <w:rFonts w:ascii="Times New Roman" w:cs="Times New Roman" w:eastAsia="Times New Roman" w:hAnsi="Times New Roman"/>
          <w:b w:val="1"/>
          <w:i w:val="1"/>
          <w:sz w:val="24"/>
          <w:szCs w:val="24"/>
          <w:rtl w:val="0"/>
        </w:rPr>
        <w:t xml:space="preserve"> modifica di cui alla lett. d))</w:t>
      </w:r>
      <w:r w:rsidDel="00000000" w:rsidR="00000000" w:rsidRPr="00000000">
        <w:rPr>
          <w:rtl w:val="0"/>
        </w:rPr>
      </w:r>
    </w:p>
    <w:p w:rsidR="00000000" w:rsidDel="00000000" w:rsidP="00000000" w:rsidRDefault="00000000" w:rsidRPr="00000000" w14:paraId="000004D7">
      <w:pPr>
        <w:numPr>
          <w:ilvl w:val="0"/>
          <w:numId w:val="1"/>
        </w:numPr>
        <w:spacing w:after="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l’imposta resta in vigore fino all’attuazione delle disposizioni che deriveranno da accordi raggiunti nelle sedi internazionali in materia di tassazione dell’economia digitalizzata; (si tratta della </w:t>
      </w:r>
      <w:r w:rsidDel="00000000" w:rsidR="00000000" w:rsidRPr="00000000">
        <w:rPr>
          <w:rFonts w:ascii="Times New Roman" w:cs="Times New Roman" w:eastAsia="Times New Roman" w:hAnsi="Times New Roman"/>
          <w:b w:val="1"/>
          <w:i w:val="1"/>
          <w:sz w:val="24"/>
          <w:szCs w:val="24"/>
          <w:rtl w:val="0"/>
        </w:rPr>
        <w:t xml:space="preserve">modifica di cui alla lett. 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D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riguarda - in particolare - le ipotesi di esclusione dalla base imponibile dell’imposta sui servizi digitali, va precisato che, fra tali ipotesi, vi sono, anzitutto, quelli di fornitura di un’interfaccia digitale il cui scopo esclusivo o principale è quello di fornire agli utenti contenuti digitali, servizi di comunicazione o servizi di pagamento (</w:t>
      </w:r>
      <w:r w:rsidDel="00000000" w:rsidR="00000000" w:rsidRPr="00000000">
        <w:rPr>
          <w:rFonts w:ascii="Times New Roman" w:cs="Times New Roman" w:eastAsia="Times New Roman" w:hAnsi="Times New Roman"/>
          <w:b w:val="1"/>
          <w:sz w:val="24"/>
          <w:szCs w:val="24"/>
          <w:rtl w:val="0"/>
        </w:rPr>
        <w:t xml:space="preserve">lettera a) del comma 37-bis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D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successiva </w:t>
      </w:r>
      <w:r w:rsidDel="00000000" w:rsidR="00000000" w:rsidRPr="00000000">
        <w:rPr>
          <w:rFonts w:ascii="Times New Roman" w:cs="Times New Roman" w:eastAsia="Times New Roman" w:hAnsi="Times New Roman"/>
          <w:b w:val="1"/>
          <w:sz w:val="24"/>
          <w:szCs w:val="24"/>
          <w:rtl w:val="0"/>
        </w:rPr>
        <w:t xml:space="preserve">lettera 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del comma 37-bis</w:t>
      </w:r>
      <w:r w:rsidDel="00000000" w:rsidR="00000000" w:rsidRPr="00000000">
        <w:rPr>
          <w:rFonts w:ascii="Times New Roman" w:cs="Times New Roman" w:eastAsia="Times New Roman" w:hAnsi="Times New Roman"/>
          <w:sz w:val="24"/>
          <w:szCs w:val="24"/>
          <w:rtl w:val="0"/>
        </w:rPr>
        <w:t xml:space="preserve"> esclude dall’ambito oggettivo di applicazione dell’imposta i servizi finanziari regolamentati da parte di entità finanziarie regolamentate.</w:t>
      </w:r>
    </w:p>
    <w:p w:rsidR="00000000" w:rsidDel="00000000" w:rsidP="00000000" w:rsidRDefault="00000000" w:rsidRPr="00000000" w14:paraId="000004D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Resta inclusa, invece, nell’ambito di applicazione dell’imposta la fornitura di servizi non regolamentati da parte di enti finanziari regolamentati.</w:t>
      </w:r>
    </w:p>
    <w:p w:rsidR="00000000" w:rsidDel="00000000" w:rsidP="00000000" w:rsidRDefault="00000000" w:rsidRPr="00000000" w14:paraId="000004D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successiva </w:t>
      </w:r>
      <w:r w:rsidDel="00000000" w:rsidR="00000000" w:rsidRPr="00000000">
        <w:rPr>
          <w:rFonts w:ascii="Times New Roman" w:cs="Times New Roman" w:eastAsia="Times New Roman" w:hAnsi="Times New Roman"/>
          <w:b w:val="1"/>
          <w:sz w:val="24"/>
          <w:szCs w:val="24"/>
          <w:rtl w:val="0"/>
        </w:rPr>
        <w:t xml:space="preserve">lettera c)</w:t>
      </w:r>
      <w:r w:rsidDel="00000000" w:rsidR="00000000" w:rsidRPr="00000000">
        <w:rPr>
          <w:rFonts w:ascii="Times New Roman" w:cs="Times New Roman" w:eastAsia="Times New Roman" w:hAnsi="Times New Roman"/>
          <w:sz w:val="24"/>
          <w:szCs w:val="24"/>
          <w:rtl w:val="0"/>
        </w:rPr>
        <w:t xml:space="preserve"> esclude dall’ambito oggettivo di applicazione dell’imposta la cessione dei dati effettuata dalle entità finanziarie regolamentate di cui alla precedente lettera b) del comma 37-bis.</w:t>
      </w:r>
    </w:p>
    <w:p w:rsidR="00000000" w:rsidDel="00000000" w:rsidP="00000000" w:rsidRDefault="00000000" w:rsidRPr="00000000" w14:paraId="000004D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territorialità dell’imposta è definita nell’ambito del comma 40 della legge di bilancio per il 2019. Per quanto riguarda l’identificazione del criterio in base al quale il dispositivo dell’utente si considera utilizzato nel territorio dello Stato, va fatto riferimento principalmente all’indirizzo di protocollo internet (IP) del dispositivo stesso o ad altro sistema di geolocalizzazione.</w:t>
      </w:r>
    </w:p>
    <w:p w:rsidR="00000000" w:rsidDel="00000000" w:rsidP="00000000" w:rsidRDefault="00000000" w:rsidRPr="00000000" w14:paraId="000004DD">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D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4D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L’articolo 1, commi 35-50, della L. n. 145/2018 (Legge di Bilancio 2019) istituisce l’imposta sui servizi digitali che prevede un’aliquota del 3% sui ricavi da applicare ai soggetti che prestano servizi digitali e che hanno un ammontare complessivo di ricavi non inferiore a 750 milioni di euro e un ammontare di ricavi derivanti dalla prestazione di servizi digitali non inferiore a 5,5 milioni di euro. La legge prevede che con successivo decreto sono stabilite le disposizioni di attuazione dell’imposta che entrerà in vigore nei 60 giorni successivi all’emanazione del decreto. </w:t>
      </w:r>
    </w:p>
    <w:p w:rsidR="00000000" w:rsidDel="00000000" w:rsidP="00000000" w:rsidRDefault="00000000" w:rsidRPr="00000000" w14:paraId="000004E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rendere direttamente applicabili le disposizioni contenute nella suddetta legge, l’articolato in allegato apporta alcune modifiche volte a chiarire le condizioni di attuazione delle misure in esame.</w:t>
      </w:r>
    </w:p>
    <w:p w:rsidR="00000000" w:rsidDel="00000000" w:rsidP="00000000" w:rsidRDefault="00000000" w:rsidRPr="00000000" w14:paraId="000004E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w:t>
      </w:r>
    </w:p>
    <w:p w:rsidR="00000000" w:rsidDel="00000000" w:rsidP="00000000" w:rsidRDefault="00000000" w:rsidRPr="00000000" w14:paraId="000004E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stato indicato che le soglie vanno calcolate rispetto ai ricavi conseguiti l’anno precedente a quello di riferimento;</w:t>
      </w:r>
    </w:p>
    <w:p w:rsidR="00000000" w:rsidDel="00000000" w:rsidP="00000000" w:rsidRDefault="00000000" w:rsidRPr="00000000" w14:paraId="000004E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stata prevista l’esigibilità dell’imposta a fine 2020;</w:t>
      </w:r>
    </w:p>
    <w:p w:rsidR="00000000" w:rsidDel="00000000" w:rsidP="00000000" w:rsidRDefault="00000000" w:rsidRPr="00000000" w14:paraId="000004E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stata eliminata la necessità dell’emanazione del D.M. di attuazione, prevedendo pertanto l’applicazione automatica della norma;</w:t>
      </w:r>
    </w:p>
    <w:p w:rsidR="00000000" w:rsidDel="00000000" w:rsidP="00000000" w:rsidRDefault="00000000" w:rsidRPr="00000000" w14:paraId="000004E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stato definito ciò che non si considera “servizi digitali”;</w:t>
      </w:r>
    </w:p>
    <w:p w:rsidR="00000000" w:rsidDel="00000000" w:rsidP="00000000" w:rsidRDefault="00000000" w:rsidRPr="00000000" w14:paraId="000004E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stata introdotta un’eventuale “</w:t>
      </w:r>
      <w:r w:rsidDel="00000000" w:rsidR="00000000" w:rsidRPr="00000000">
        <w:rPr>
          <w:rFonts w:ascii="Times New Roman" w:cs="Times New Roman" w:eastAsia="Times New Roman" w:hAnsi="Times New Roman"/>
          <w:i w:val="1"/>
          <w:sz w:val="24"/>
          <w:szCs w:val="24"/>
          <w:rtl w:val="0"/>
        </w:rPr>
        <w:t xml:space="preserve">sunset clause</w:t>
      </w:r>
      <w:r w:rsidDel="00000000" w:rsidR="00000000" w:rsidRPr="00000000">
        <w:rPr>
          <w:rFonts w:ascii="Times New Roman" w:cs="Times New Roman" w:eastAsia="Times New Roman" w:hAnsi="Times New Roman"/>
          <w:sz w:val="24"/>
          <w:szCs w:val="24"/>
          <w:rtl w:val="0"/>
        </w:rPr>
        <w:t xml:space="preserve">”, ovvero è stato previsto che l’imposta resta in vigore fino all’attuazione delle disposizioni che deriveranno da accordi raggiunti nelle sedi internazionali in materia di tassazione dell’economia digitalizzata.</w:t>
      </w:r>
    </w:p>
    <w:p w:rsidR="00000000" w:rsidDel="00000000" w:rsidP="00000000" w:rsidRDefault="00000000" w:rsidRPr="00000000" w14:paraId="000004E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riguardo, si evidenzia che tali modifiche, essendo apportate solo al fine di rendere direttamente applicabili le disposizioni inerenti l’imposta sui servizi digitali e di non subordinarne quindi l’attuazione all’emanazione di un successivo provvedimento, non comportano ulteriori effetti rispetto a quelli già stimati in sede di relazione tecnica alla norma originaria contenuta nella Legge n. 145/2018, la quale indica un gettito atteso di circa 600 milioni di euro su base annua.</w:t>
      </w:r>
    </w:p>
    <w:p w:rsidR="00000000" w:rsidDel="00000000" w:rsidP="00000000" w:rsidRDefault="00000000" w:rsidRPr="00000000" w14:paraId="000004E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TITOLO IV</w:t>
      </w:r>
    </w:p>
    <w:p w:rsidR="00000000" w:rsidDel="00000000" w:rsidP="00000000" w:rsidRDefault="00000000" w:rsidRPr="00000000" w14:paraId="000004E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Ulteriori disposizioni per esigenze indifferibili</w:t>
      </w:r>
    </w:p>
    <w:p w:rsidR="00000000" w:rsidDel="00000000" w:rsidP="00000000" w:rsidRDefault="00000000" w:rsidRPr="00000000" w14:paraId="000004EC">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39</w:t>
      </w:r>
    </w:p>
    <w:p w:rsidR="00000000" w:rsidDel="00000000" w:rsidP="00000000" w:rsidRDefault="00000000" w:rsidRPr="00000000" w14:paraId="000004E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Ferrovie dello Stato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E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È autorizzata la spesa di 300 milioni di euro per l'anno 2019, per il finanziamento di investimenti infrastrutturali per il miglioramento della sicurezza della rete ferroviaria nazionale.</w:t>
      </w:r>
    </w:p>
    <w:p w:rsidR="00000000" w:rsidDel="00000000" w:rsidP="00000000" w:rsidRDefault="00000000" w:rsidRPr="00000000" w14:paraId="000004F1">
      <w:pPr>
        <w:spacing w:after="0" w:lineRule="auto"/>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2. Al fine di assicurare il pieno ed efficace svolgimento delle attività funzionali al raggiungimento degli obiettivi istituzionali e societari attribuiti alla società Rete Ferroviaria Italiana S.p.A. (RFI), alla stessa non si applicano i vincoli e gli obblighi in materia di contenimento della spesa pubblica previsti dalla legge a carico dei soggetti inclusi nel provvedimento dell’ISTAT di cui all’articolo 1, comma 3, della legge 31 dicembre 2009, n.196. La società conserva autonomia finanziaria e operativa, fermo restando l’obbligo di preventiva informativa ai competenti Ministeri e autorità, in relazione alle operazioni finanziarie che comportano una variazione dell’esposizione debitoria della società.</w:t>
      </w:r>
    </w:p>
    <w:p w:rsidR="00000000" w:rsidDel="00000000" w:rsidP="00000000" w:rsidRDefault="00000000" w:rsidRPr="00000000" w14:paraId="000004F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Al fine di agevolare l’attuazione delle disposizioni di cui all’articolo 1, comma 471, della legge 27 dicembre 2017, n. 205 e di potenziare l’attività di riscossione dei crediti di giustizia ai sensi del testo unico delle disposizioni legislative e regolamentari in materia di spese di giustizia di cui al decreto del Presidente della Repubblica 30 maggio 2002, n. 115, nonché di incrementare il gettito per l’Erario derivante dalle medesime attività, alla società di cui all’articolo 2, comma 1, del decreto legge 16 settembre 2008, n. 143, convertito, con modificazioni, dalla legge 13 novembre 2008, n. 181, fermo restando il concorso agli obiettivi di finanza pubblica e l’obbligo di versamento all’entrata del bilancio dello Stato di un importo corrispondente ai risparmi conseguiti dall’applicazione delle suddette norme, da effettuare ai sensi dell’articolo 1, comma 506, della legge 28 dicembre 2015, n. 208, non si applicano le disposizioni di cui agli articoli 9, commi 28 e 29, e 6, commi 7, 11 e 13, del decreto legge 31 maggio 2010, n. 78, convertito, con modificazioni, dalla legge 30 luglio 2010, n. 122.</w:t>
      </w:r>
    </w:p>
    <w:p w:rsidR="00000000" w:rsidDel="00000000" w:rsidP="00000000" w:rsidRDefault="00000000" w:rsidRPr="00000000" w14:paraId="000004F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Agli oneri derivanti dal comma 1 si provvede ai sensi dell'articolo </w:t>
      </w:r>
      <w:r w:rsidDel="00000000" w:rsidR="00000000" w:rsidRPr="00000000">
        <w:rPr>
          <w:rFonts w:ascii="Times New Roman" w:cs="Times New Roman" w:eastAsia="Times New Roman" w:hAnsi="Times New Roman"/>
          <w:sz w:val="24"/>
          <w:szCs w:val="24"/>
          <w:highlight w:val="yellow"/>
          <w:rtl w:val="0"/>
        </w:rPr>
        <w:t xml:space="preserve">di copertura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F4">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4F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b w:val="1"/>
          <w:sz w:val="24"/>
          <w:szCs w:val="24"/>
          <w:rtl w:val="0"/>
        </w:rPr>
        <w:t xml:space="preserve">comma 1</w:t>
      </w:r>
      <w:r w:rsidDel="00000000" w:rsidR="00000000" w:rsidRPr="00000000">
        <w:rPr>
          <w:rFonts w:ascii="Times New Roman" w:cs="Times New Roman" w:eastAsia="Times New Roman" w:hAnsi="Times New Roman"/>
          <w:sz w:val="24"/>
          <w:szCs w:val="24"/>
          <w:rtl w:val="0"/>
        </w:rPr>
        <w:t xml:space="preserve"> autorizza la spesa di 300 milioni di euro per l'anno 2019, per il finanziamento di investimenti infrastrutturali per il miglioramento della sicurezza della rete ferroviaria nazionale.</w:t>
      </w:r>
    </w:p>
    <w:p w:rsidR="00000000" w:rsidDel="00000000" w:rsidP="00000000" w:rsidRDefault="00000000" w:rsidRPr="00000000" w14:paraId="000004F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il </w:t>
      </w:r>
      <w:r w:rsidDel="00000000" w:rsidR="00000000" w:rsidRPr="00000000">
        <w:rPr>
          <w:rFonts w:ascii="Times New Roman" w:cs="Times New Roman" w:eastAsia="Times New Roman" w:hAnsi="Times New Roman"/>
          <w:b w:val="1"/>
          <w:sz w:val="24"/>
          <w:szCs w:val="24"/>
          <w:rtl w:val="0"/>
        </w:rPr>
        <w:t xml:space="preserve">comma 2</w:t>
      </w:r>
      <w:r w:rsidDel="00000000" w:rsidR="00000000" w:rsidRPr="00000000">
        <w:rPr>
          <w:rFonts w:ascii="Times New Roman" w:cs="Times New Roman" w:eastAsia="Times New Roman" w:hAnsi="Times New Roman"/>
          <w:sz w:val="24"/>
          <w:szCs w:val="24"/>
          <w:rtl w:val="0"/>
        </w:rPr>
        <w:t xml:space="preserve"> si prevede che alla  società  Rete Ferroviaria Italiana S.p.a. (RFI) non si applicano i vincoli e gli obblighi in materia di contenimento della spesa pubblica previsti dalla legge a carico dei soggetti inclusi nel provvedimento dell’ISTAT di cui all’articolo 1, comma 3, della legge n.196 del 2009, nonché i vincoli e gli obblighi previsti dal decreto legislativo 31 maggio 2011, n. 91, dall’articolo 1, comma 533, della legge  11 dicembre 2016, n. 232, dall’articolo 1, commi 859, 861, 862, 863, 864, 867, 868, 869, 870, 871 e 872 della legge  30 dicembre 2018, n.145. Inoltre, si prevede che la società conserva autonomia finanziaria e operativa, fermo restando l’obbligo di preventiva informativa ai competenti Ministeri e autorità in relazione alle operazioni finanziarie che comportano una variazione dell’esposizione debitoria della società.</w:t>
      </w:r>
    </w:p>
    <w:p w:rsidR="00000000" w:rsidDel="00000000" w:rsidP="00000000" w:rsidRDefault="00000000" w:rsidRPr="00000000" w14:paraId="000004F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il </w:t>
      </w:r>
      <w:r w:rsidDel="00000000" w:rsidR="00000000" w:rsidRPr="00000000">
        <w:rPr>
          <w:rFonts w:ascii="Times New Roman" w:cs="Times New Roman" w:eastAsia="Times New Roman" w:hAnsi="Times New Roman"/>
          <w:b w:val="1"/>
          <w:sz w:val="24"/>
          <w:szCs w:val="24"/>
          <w:rtl w:val="0"/>
        </w:rPr>
        <w:t xml:space="preserve">comma 3 </w:t>
      </w:r>
      <w:r w:rsidDel="00000000" w:rsidR="00000000" w:rsidRPr="00000000">
        <w:rPr>
          <w:rFonts w:ascii="Times New Roman" w:cs="Times New Roman" w:eastAsia="Times New Roman" w:hAnsi="Times New Roman"/>
          <w:sz w:val="24"/>
          <w:szCs w:val="24"/>
          <w:rtl w:val="0"/>
        </w:rPr>
        <w:t xml:space="preserve">si prevede che alla Società Equitalia Giustizia non si applicano le sole misure di contenimento riguardanti alcune tipologie di spesa relative al personale.</w:t>
      </w:r>
    </w:p>
    <w:p w:rsidR="00000000" w:rsidDel="00000000" w:rsidP="00000000" w:rsidRDefault="00000000" w:rsidRPr="00000000" w14:paraId="000004F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4FC">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b w:val="1"/>
          <w:sz w:val="24"/>
          <w:szCs w:val="24"/>
          <w:rtl w:val="0"/>
        </w:rPr>
        <w:t xml:space="preserve">comma 1</w:t>
      </w:r>
      <w:r w:rsidDel="00000000" w:rsidR="00000000" w:rsidRPr="00000000">
        <w:rPr>
          <w:rFonts w:ascii="Times New Roman" w:cs="Times New Roman" w:eastAsia="Times New Roman" w:hAnsi="Times New Roman"/>
          <w:sz w:val="24"/>
          <w:szCs w:val="24"/>
          <w:rtl w:val="0"/>
        </w:rPr>
        <w:t xml:space="preserve"> autorizza la spesa di 300 milioni di euro per l'anno 2019 per il finanziamento di investimenti infrastrutturali per il miglioramento della sicurezza della rete ferroviaria nazionale. Alla copertura dei predetti oneri si provvede ai sensi dell’articolo</w:t>
      </w:r>
      <w:r w:rsidDel="00000000" w:rsidR="00000000" w:rsidRPr="00000000">
        <w:rPr>
          <w:rFonts w:ascii="Times New Roman" w:cs="Times New Roman" w:eastAsia="Times New Roman" w:hAnsi="Times New Roman"/>
          <w:sz w:val="24"/>
          <w:szCs w:val="24"/>
          <w:highlight w:val="yellow"/>
          <w:rtl w:val="0"/>
        </w:rPr>
        <w:t xml:space="preserve"> di copertura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F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Manca RT commi 2 e 3</w:t>
      </w:r>
    </w:p>
    <w:p w:rsidR="00000000" w:rsidDel="00000000" w:rsidP="00000000" w:rsidRDefault="00000000" w:rsidRPr="00000000" w14:paraId="000004FF">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40</w:t>
      </w:r>
    </w:p>
    <w:p w:rsidR="00000000" w:rsidDel="00000000" w:rsidP="00000000" w:rsidRDefault="00000000" w:rsidRPr="00000000" w14:paraId="0000050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Fondo di garanzia PMI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02">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3">
      <w:pPr>
        <w:shd w:fill="ffffff"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 Fondo di garanzia per le piccole e medie imprese di cui all'</w:t>
      </w:r>
      <w:hyperlink r:id="rId7">
        <w:r w:rsidDel="00000000" w:rsidR="00000000" w:rsidRPr="00000000">
          <w:rPr>
            <w:rFonts w:ascii="Times New Roman" w:cs="Times New Roman" w:eastAsia="Times New Roman" w:hAnsi="Times New Roman"/>
            <w:sz w:val="24"/>
            <w:szCs w:val="24"/>
            <w:rtl w:val="0"/>
          </w:rPr>
          <w:t xml:space="preserve">articolo 2, comma 100, lettera a), della legge 23 dicembre 1996, n. 662</w:t>
        </w:r>
      </w:hyperlink>
      <w:r w:rsidDel="00000000" w:rsidR="00000000" w:rsidRPr="00000000">
        <w:rPr>
          <w:rFonts w:ascii="Times New Roman" w:cs="Times New Roman" w:eastAsia="Times New Roman" w:hAnsi="Times New Roman"/>
          <w:sz w:val="24"/>
          <w:szCs w:val="24"/>
          <w:rtl w:val="0"/>
        </w:rPr>
        <w:t xml:space="preserve">, sono assegnati 700 milioni di euro per l'anno 2019. Al relativo onere si provvede ai sensi dell'articolo </w:t>
      </w:r>
      <w:r w:rsidDel="00000000" w:rsidR="00000000" w:rsidRPr="00000000">
        <w:rPr>
          <w:rFonts w:ascii="Times New Roman" w:cs="Times New Roman" w:eastAsia="Times New Roman" w:hAnsi="Times New Roman"/>
          <w:sz w:val="24"/>
          <w:szCs w:val="24"/>
          <w:highlight w:val="yellow"/>
          <w:rtl w:val="0"/>
        </w:rPr>
        <w:t xml:space="preserve">di copertura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04">
      <w:pPr>
        <w:shd w:fill="ffffff" w:val="clea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5">
      <w:pPr>
        <w:shd w:fill="ffffff" w:val="clea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506">
      <w:pPr>
        <w:shd w:fill="ffffff"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assegna al Fondo di garanzia per le piccole e medie imprese di cui all'</w:t>
      </w:r>
      <w:hyperlink r:id="rId8">
        <w:r w:rsidDel="00000000" w:rsidR="00000000" w:rsidRPr="00000000">
          <w:rPr>
            <w:rFonts w:ascii="Times New Roman" w:cs="Times New Roman" w:eastAsia="Times New Roman" w:hAnsi="Times New Roman"/>
            <w:sz w:val="24"/>
            <w:szCs w:val="24"/>
            <w:rtl w:val="0"/>
          </w:rPr>
          <w:t xml:space="preserve">articolo 2, comma 100, lettera a), della legge n. 662</w:t>
        </w:r>
      </w:hyperlink>
      <w:r w:rsidDel="00000000" w:rsidR="00000000" w:rsidRPr="00000000">
        <w:rPr>
          <w:rFonts w:ascii="Times New Roman" w:cs="Times New Roman" w:eastAsia="Times New Roman" w:hAnsi="Times New Roman"/>
          <w:sz w:val="24"/>
          <w:szCs w:val="24"/>
          <w:rtl w:val="0"/>
        </w:rPr>
        <w:t xml:space="preserve"> del 1996, l’importo di 700 milioni di euro per l'anno 2019.</w:t>
      </w:r>
    </w:p>
    <w:p w:rsidR="00000000" w:rsidDel="00000000" w:rsidP="00000000" w:rsidRDefault="00000000" w:rsidRPr="00000000" w14:paraId="00000507">
      <w:pPr>
        <w:shd w:fill="ffffff"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8">
      <w:pPr>
        <w:shd w:fill="ffffff" w:val="clea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509">
      <w:pPr>
        <w:shd w:fill="ffffff"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assegna al Fondo di garanzia per le piccole e medie imprese, di cui all'articolo 2, comma 100, lettera a), della legge 23 dicembre 1996, n. 662, l’importo di 700 milioni di euro per l'anno 2019. Al relativo onere si provvede ai sensi dell'articolo </w:t>
      </w:r>
      <w:r w:rsidDel="00000000" w:rsidR="00000000" w:rsidRPr="00000000">
        <w:rPr>
          <w:rFonts w:ascii="Times New Roman" w:cs="Times New Roman" w:eastAsia="Times New Roman" w:hAnsi="Times New Roman"/>
          <w:sz w:val="24"/>
          <w:szCs w:val="24"/>
          <w:highlight w:val="yellow"/>
          <w:rtl w:val="0"/>
        </w:rPr>
        <w:t xml:space="preserve">di copertura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0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41</w:t>
      </w:r>
    </w:p>
    <w:p w:rsidR="00000000" w:rsidDel="00000000" w:rsidP="00000000" w:rsidRDefault="00000000" w:rsidRPr="00000000" w14:paraId="0000050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Fusioni comuni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0E">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F">
      <w:pPr>
        <w:shd w:fill="ffffff"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 dotazione finanziaria dei contributi straordinari di cui all'articolo 15, comma 3, del testo unico di cui al decreto legislativo 18 agosto 2000, n. 267, è incrementata di 30 milioni di euro per l’anno 2019.</w:t>
      </w:r>
    </w:p>
    <w:p w:rsidR="00000000" w:rsidDel="00000000" w:rsidP="00000000" w:rsidRDefault="00000000" w:rsidRPr="00000000" w14:paraId="00000510">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511">
      <w:pPr>
        <w:shd w:fill="ffffff"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incrementa la dotazione finanziaria dei contributi straordinari previsti, al fine di favorire la fusione di comuni, dall’articolo 15, comma 3, dal decreto legislativo n. 267 del 2000, dell’importo di 30 milioni di euro per l’anno 2019.</w:t>
      </w:r>
    </w:p>
    <w:p w:rsidR="00000000" w:rsidDel="00000000" w:rsidP="00000000" w:rsidRDefault="00000000" w:rsidRPr="00000000" w14:paraId="0000051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42</w:t>
      </w:r>
    </w:p>
    <w:p w:rsidR="00000000" w:rsidDel="00000000" w:rsidP="00000000" w:rsidRDefault="00000000" w:rsidRPr="00000000" w14:paraId="0000051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Affitti passivi PA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1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 8, del decreto-legge 31 maggio 2010, n. 78, convertito, con modificazioni, dalla legge 30 luglio 2010, n. 122 sono apportate le seguenti modificazioni:</w:t>
      </w:r>
    </w:p>
    <w:p w:rsidR="00000000" w:rsidDel="00000000" w:rsidP="00000000" w:rsidRDefault="00000000" w:rsidRPr="00000000" w14:paraId="00000518">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 comma 4, il quinto periodo è sostituito dal seguente: “Ai contratti stipulati con le Amministrazioni dello Stato di cui all’articolo 1, comma 2, del decreto legislativo 30 marzo 2001, n. 165 per la locazione degli immobili acquistati ai sensi del presente comma si applica un canone commisurato ai valori di mercato, ridotto ai sensi dell’art. 3, comma 6, del decreto-legge n.  95 del 2012, convertito, con modificazioni, dalla legge n. 7 agosto 2012, n. 135.”; </w:t>
      </w:r>
    </w:p>
    <w:p w:rsidR="00000000" w:rsidDel="00000000" w:rsidP="00000000" w:rsidRDefault="00000000" w:rsidRPr="00000000" w14:paraId="00000519">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dopo il comma 4 è aggiunto il seguente comma: “4-bis. Le risorse di cui al primo periodo del precedente comma 4 possono essere utilizzate dai predetti enti previdenziali anche per l’acquisto di immobili adibiti o da adibire ad uffici in locazione passiva alle società in house delle amministrazioni centrali dello Stato ed incluse nell’elenco di cui all’articolo 1, comma 2, della legge 196/2009, su indicazione dell’amministrazione che esercita il controllo analogo, sentiti il Ministero dell’Economia e delle finanze e l’Agenzia del demanio per le rispettive competenze. Il Ministero dell’Economia e delle Finanze può trasferire alle predette società in house le risorse a legislazione vigente di cui all’ultimo periodo del precedente comma 4, per consentire alle medesime società, che ne facciano richiesta, di procedere alla predisposizione della progettazione necessaria agli enti previdenziali pubblici per la valutazione degli investimenti immobiliari di cui al presente comma. Con il decreto di natura non regolamentare del Ministro del lavoro e delle politiche sociali, di concerto con il Ministro dell'economia e delle finanze, di cui al comma 4, sono stabilite le modalità di attuazione del presente comma, nel rispetto dei saldi strutturali di finanza pubblica.”.</w:t>
      </w:r>
    </w:p>
    <w:p w:rsidR="00000000" w:rsidDel="00000000" w:rsidP="00000000" w:rsidRDefault="00000000" w:rsidRPr="00000000" w14:paraId="0000051A">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51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di cui al </w:t>
      </w:r>
      <w:r w:rsidDel="00000000" w:rsidR="00000000" w:rsidRPr="00000000">
        <w:rPr>
          <w:rFonts w:ascii="Times New Roman" w:cs="Times New Roman" w:eastAsia="Times New Roman" w:hAnsi="Times New Roman"/>
          <w:b w:val="1"/>
          <w:sz w:val="24"/>
          <w:szCs w:val="24"/>
          <w:rtl w:val="0"/>
        </w:rPr>
        <w:t xml:space="preserve">comma 1, lett. a)</w:t>
      </w:r>
      <w:r w:rsidDel="00000000" w:rsidR="00000000" w:rsidRPr="00000000">
        <w:rPr>
          <w:rFonts w:ascii="Times New Roman" w:cs="Times New Roman" w:eastAsia="Times New Roman" w:hAnsi="Times New Roman"/>
          <w:sz w:val="24"/>
          <w:szCs w:val="24"/>
          <w:rtl w:val="0"/>
        </w:rPr>
        <w:t xml:space="preserve"> interviene sul comma 4 dell’art. 8, del D.L. n. 78/2010  che prevede per gli enti previdenziali la possibilità di destinare una quota parte delle proprie risorse finanziare all’acquisto di immobili adibiti o da adibire ad ufficio in locazione passiva alle Amministrazioni pubbliche, rinviando le previsioni attuative di tali disposizioni ad un apposito decreto di natura non regolamentare del Ministro del lavoro e delle politiche sociali, di concerto con il Ministro dell'economia e delle Finanze.</w:t>
      </w:r>
    </w:p>
    <w:p w:rsidR="00000000" w:rsidDel="00000000" w:rsidP="00000000" w:rsidRDefault="00000000" w:rsidRPr="00000000" w14:paraId="0000051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la proposta in questione è volta a precisare che ai contratti di locazione stipulati dagli enti previdenziali con le Amministrazioni dello Stato di cui all’art. 1, comma 2, del decreto legislativo n. 165/2001 (incluse la Presidenza del Consiglio dei Ministri e le agenzie, anche fiscali) il canone di locazione da applicare è pari al valore di mercato ridotto ai sensi dell’art. 3, comma 6, del D.L n. 95/2012.</w:t>
      </w:r>
    </w:p>
    <w:p w:rsidR="00000000" w:rsidDel="00000000" w:rsidP="00000000" w:rsidRDefault="00000000" w:rsidRPr="00000000" w14:paraId="000005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modifica della norma si rende necessaria per dare certezza e slancio agli investimenti previsti dal comma 4 del citato art. 8, garantendo agli enti previdenziali un’adeguata redditività, e superare le criticità fino ad ora insorte. Infatti mancando un preciso riferimento normativo, i DD.MM. attuativi (del 2011 e 2017) hanno determinato diversi criteri, ritenuti dagli enti non remunerativi, che di fatto hanno frenato gli investimenti; in assenza di tale modifica gli enti previdenziali non sono quindi in condizioni di effettuare tali investimenti. </w:t>
      </w:r>
    </w:p>
    <w:p w:rsidR="00000000" w:rsidDel="00000000" w:rsidP="00000000" w:rsidRDefault="00000000" w:rsidRPr="00000000" w14:paraId="000005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di cui al </w:t>
      </w:r>
      <w:r w:rsidDel="00000000" w:rsidR="00000000" w:rsidRPr="00000000">
        <w:rPr>
          <w:rFonts w:ascii="Times New Roman" w:cs="Times New Roman" w:eastAsia="Times New Roman" w:hAnsi="Times New Roman"/>
          <w:b w:val="1"/>
          <w:sz w:val="24"/>
          <w:szCs w:val="24"/>
          <w:rtl w:val="0"/>
        </w:rPr>
        <w:t xml:space="preserve">comma 1, lett. b)</w:t>
      </w:r>
      <w:r w:rsidDel="00000000" w:rsidR="00000000" w:rsidRPr="00000000">
        <w:rPr>
          <w:rFonts w:ascii="Times New Roman" w:cs="Times New Roman" w:eastAsia="Times New Roman" w:hAnsi="Times New Roman"/>
          <w:sz w:val="24"/>
          <w:szCs w:val="24"/>
          <w:rtl w:val="0"/>
        </w:rPr>
        <w:t xml:space="preserve">, attraverso l’inserimento del comma 4-bis nell’articolo 8 del D.L. n. 78 del 2010, prevede che gli enti previdenziali possono utilizzare le risorse di cui al primo periodo del comma 4, dello stesso articolo 8, anche per l’acquisto di immobili adibiti o da adibire ad uffici in locazione passiva alle società </w:t>
      </w:r>
      <w:r w:rsidDel="00000000" w:rsidR="00000000" w:rsidRPr="00000000">
        <w:rPr>
          <w:rFonts w:ascii="Times New Roman" w:cs="Times New Roman" w:eastAsia="Times New Roman" w:hAnsi="Times New Roman"/>
          <w:i w:val="1"/>
          <w:sz w:val="24"/>
          <w:szCs w:val="24"/>
          <w:rtl w:val="0"/>
        </w:rPr>
        <w:t xml:space="preserve">in house</w:t>
      </w:r>
      <w:r w:rsidDel="00000000" w:rsidR="00000000" w:rsidRPr="00000000">
        <w:rPr>
          <w:rFonts w:ascii="Times New Roman" w:cs="Times New Roman" w:eastAsia="Times New Roman" w:hAnsi="Times New Roman"/>
          <w:sz w:val="24"/>
          <w:szCs w:val="24"/>
          <w:rtl w:val="0"/>
        </w:rPr>
        <w:t xml:space="preserve"> delle amministrazioni centrali dello Stato ed incluse nell’elenco di cui all’articolo 1, comma 2, della legge 196 del 2009, su indicazione dell’amministrazione che esercita il controllo analogo. A tal fine, si prevede che il Ministero dell’economia e delle finanze può trasferire alle predette società </w:t>
      </w:r>
      <w:r w:rsidDel="00000000" w:rsidR="00000000" w:rsidRPr="00000000">
        <w:rPr>
          <w:rFonts w:ascii="Times New Roman" w:cs="Times New Roman" w:eastAsia="Times New Roman" w:hAnsi="Times New Roman"/>
          <w:i w:val="1"/>
          <w:sz w:val="24"/>
          <w:szCs w:val="24"/>
          <w:rtl w:val="0"/>
        </w:rPr>
        <w:t xml:space="preserve">in house</w:t>
      </w:r>
      <w:r w:rsidDel="00000000" w:rsidR="00000000" w:rsidRPr="00000000">
        <w:rPr>
          <w:rFonts w:ascii="Times New Roman" w:cs="Times New Roman" w:eastAsia="Times New Roman" w:hAnsi="Times New Roman"/>
          <w:sz w:val="24"/>
          <w:szCs w:val="24"/>
          <w:rtl w:val="0"/>
        </w:rPr>
        <w:t xml:space="preserve"> le risorse a legislazione vigente di cui all’ultimo periodo del citato comma 4, per consentire alle stesse società, che ne facciano richiesta, di procedere alla predisposizione della progettazione necessaria agli enti previdenziali pubblici per la valutazione degli investimenti immobiliari.</w:t>
      </w:r>
    </w:p>
    <w:p w:rsidR="00000000" w:rsidDel="00000000" w:rsidP="00000000" w:rsidRDefault="00000000" w:rsidRPr="00000000" w14:paraId="0000052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 </w:t>
      </w:r>
    </w:p>
    <w:p w:rsidR="00000000" w:rsidDel="00000000" w:rsidP="00000000" w:rsidRDefault="00000000" w:rsidRPr="00000000" w14:paraId="0000052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complessivamente non comporta nuovi oneri per la finanza pubblica rispetto all’attuale previsione contenuta nei DD.MM. richiamati. In ogni caso, trattandosi di rapporti tra amministrazioni pubbliche, le risorse rimangono nell’alveo pubblico. Si sottolinea comunque che i canoni di affitto modificati con la presente disposizione sono comunque in linea con le norme vigenti dettate dal DL n. 95/2012. Trattasi, comunque, sotto il profilo quantitativo di numeri contenuti e di operazioni diluite nel tempo.</w:t>
      </w:r>
    </w:p>
    <w:p w:rsidR="00000000" w:rsidDel="00000000" w:rsidP="00000000" w:rsidRDefault="00000000" w:rsidRPr="00000000" w14:paraId="00000522">
      <w:pPr>
        <w:spacing w:after="0" w:lineRule="auto"/>
        <w:rPr/>
      </w:pPr>
      <w:r w:rsidDel="00000000" w:rsidR="00000000" w:rsidRPr="00000000">
        <w:rPr>
          <w:rtl w:val="0"/>
        </w:rPr>
      </w:r>
    </w:p>
    <w:p w:rsidR="00000000" w:rsidDel="00000000" w:rsidP="00000000" w:rsidRDefault="00000000" w:rsidRPr="00000000" w14:paraId="0000052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43</w:t>
      </w:r>
    </w:p>
    <w:p w:rsidR="00000000" w:rsidDel="00000000" w:rsidP="00000000" w:rsidRDefault="00000000" w:rsidRPr="00000000" w14:paraId="0000052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Abrogazione dell’articolo 6, comma 6-ter, del decreto-legge 13 agosto 2011, n. 138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2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comma 6-ter dell’articolo 6 del decreto-legge 13 agosto 2011, n. 138, convertito, con modificazioni, dalla legge 14 settembre 2011, n. 148 è abrogato.</w:t>
      </w:r>
    </w:p>
    <w:p w:rsidR="00000000" w:rsidDel="00000000" w:rsidP="00000000" w:rsidRDefault="00000000" w:rsidRPr="00000000" w14:paraId="0000052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52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proposta interviene sul comma 6-ter dell’art. 6 del decreto legge 13 agosto 2011, n. 138 che allo stato prevede, ai fini di un’efficace e immediata attuazione di quanto previsto in tema di razionalizzazione della spesa, che l'Agenzia del demanio proceda, con priorità in aree a più elevato disagio occupazionale e produttivo, ad operazioni di permuta, senza oneri a carico del bilancio dell’Erario, di beni appartenenti allo Stato con immobili adeguati all'uso governativo, al fine di consentire il rilascio di immobili di proprietà di terzi, attualmente condotti in locazione passiva ovvero appartenenti allo Stato e ritenuti inadeguati. </w:t>
      </w:r>
    </w:p>
    <w:p w:rsidR="00000000" w:rsidDel="00000000" w:rsidP="00000000" w:rsidRDefault="00000000" w:rsidRPr="00000000" w14:paraId="0000052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Secondo la previsione normativa vigente, le operazioni di permuta, che interessano con priorità le aree a più elevato disagio occupazionale e produttivo, vanno effettuate anche ai fini della realizzazione di nuovi edifici giudiziari in cui sia prevista la razionale concentrazione di tutti gli uffici ordinari e minorili nonché l'accorpamento delle soppresse sedi periferiche. In tal caso le operazioni di permuta comportano l’individuazione, da parte del Ministero della Giustizia di beni in uso governativo all'uopo utilizzabili - mediante il preliminare esperimento di procedure di gara - con necessità di definire a priori un criterio di prevalenza delle locazioni passive delle Amministrazioni Statali da prendere a riferimento (non solo quindi in favore del Ministero della Giustizia). </w:t>
      </w:r>
    </w:p>
    <w:p w:rsidR="00000000" w:rsidDel="00000000" w:rsidP="00000000" w:rsidRDefault="00000000" w:rsidRPr="00000000" w14:paraId="0000052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predetta disposizione non ha, sinora, trovato attuazione per svariate ragioni (mancata individuazione di beni disponibili, difficoltà collegate alla necessità di trasformare l'utilizzazione diretta di immobili in locazioni passive delle Amministrazioni Statali), tra cui da ultimo, anche le sopravvenute disponibilità di risorse economiche per finanziare interventi di rifunzionalizzazione che hanno reso percorribili operazioni di razionalizzazione di beni già di proprietà dello Stato in precedenza non valorizzati per mancanza di fondi.</w:t>
      </w:r>
    </w:p>
    <w:p w:rsidR="00000000" w:rsidDel="00000000" w:rsidP="00000000" w:rsidRDefault="00000000" w:rsidRPr="00000000" w14:paraId="0000052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Preso atto del suddetto contesto, la presente proposta abrogativa mira a dare certezza a tale materia e si pone in linea con i più recenti obiettivi di riduzione della spesa pubblica in quanto eviterebbe il sorgere di nuove locazioni passive in quanto dalle operazioni configurate dalla norma di cui propone l’abrogazione scaturirebbero fattispecie riconducibili alle operazioni di sale and leaseback.</w:t>
      </w:r>
    </w:p>
    <w:p w:rsidR="00000000" w:rsidDel="00000000" w:rsidP="00000000" w:rsidRDefault="00000000" w:rsidRPr="00000000" w14:paraId="0000052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abrogativa raccoglie, inoltre, le indicazioni più volte espresse dalla Corte dei Conti in sede di referto al Parlamento per il rendiconto generale dello Stato riferito da ultimo, agli anni 2017 e 2018, rilevando la necessità di una riconsiderazione della norma che mai ha trovato attuazione.</w:t>
      </w:r>
    </w:p>
    <w:p w:rsidR="00000000" w:rsidDel="00000000" w:rsidP="00000000" w:rsidRDefault="00000000" w:rsidRPr="00000000" w14:paraId="0000052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53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abrogativa consentirebbe il raggiungimento degli obiettivi di riduzione della spesa pubblica in quanto eviterebbe il sorgere di nuove locazioni passive, in considerazione del fatto che la norma prevede, oltre alla permuta diretta di immobili esistenti, anche la trasformazione di usi governativi e dunque gratuiti in affitti passivi. Infatti si prevede che possano formare oggetto di permuta anche immobili già detenuti in uso governativo da amministrazioni dello Stato fino alla percentuale massima del 75% della permuta. Ciò comporta la trasformazione degli utilizzi gratuiti in onerosi con conseguente incremento della spesa pubblica. </w:t>
      </w:r>
    </w:p>
    <w:p w:rsidR="00000000" w:rsidDel="00000000" w:rsidP="00000000" w:rsidRDefault="00000000" w:rsidRPr="00000000" w14:paraId="0000053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44</w:t>
      </w:r>
    </w:p>
    <w:p w:rsidR="00000000" w:rsidDel="00000000" w:rsidP="00000000" w:rsidRDefault="00000000" w:rsidRPr="00000000" w14:paraId="0000053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Disposizioni in materia di salute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Times New Roman" w:cs="Times New Roman" w:eastAsia="Times New Roman" w:hAnsi="Times New Roman"/>
          <w:b w:val="0"/>
          <w:i w:val="0"/>
          <w:smallCaps w:val="0"/>
          <w:strike w:val="0"/>
          <w:color w:val="0c0c0c"/>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c0c0c"/>
          <w:sz w:val="24"/>
          <w:szCs w:val="24"/>
          <w:rtl w:val="0"/>
        </w:rPr>
        <w:t xml:space="preserve">1. All’articolo 1, comma 515, della legge </w:t>
      </w:r>
      <w:r w:rsidDel="00000000" w:rsidR="00000000" w:rsidRPr="00000000">
        <w:rPr>
          <w:rFonts w:ascii="Times New Roman" w:cs="Times New Roman" w:eastAsia="Times New Roman" w:hAnsi="Times New Roman"/>
          <w:sz w:val="24"/>
          <w:szCs w:val="24"/>
          <w:rtl w:val="0"/>
        </w:rPr>
        <w:t xml:space="preserve">30 dicembre 2018, n.145 le parole “31 marzo 2019” sono sostituite dalle seguenti “31 dicembre 2019”.</w:t>
      </w:r>
    </w:p>
    <w:p w:rsidR="00000000" w:rsidDel="00000000" w:rsidP="00000000" w:rsidRDefault="00000000" w:rsidRPr="00000000" w14:paraId="0000053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53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in esame proroga al 31 dicembre 2019 il termine – originariamente fissato al 31 marzo 2019 - entro il quale, ai sensi dell’art. 1, comma 515 della legge n. 145 del 2018 devono essere</w:t>
      </w:r>
      <w:r w:rsidDel="00000000" w:rsidR="00000000" w:rsidRPr="00000000">
        <w:rPr>
          <w:rFonts w:ascii="Times New Roman" w:cs="Times New Roman" w:eastAsia="Times New Roman" w:hAnsi="Times New Roman"/>
          <w:sz w:val="24"/>
          <w:szCs w:val="24"/>
          <w:highlight w:val="white"/>
          <w:rtl w:val="0"/>
        </w:rPr>
        <w:t xml:space="preserve"> stipulate - in sede di Conferenza permanente per i rapporti tra lo Stato, le regioni e le province autonome di Trento e di Bolzano-  per il Patto per la salute 2019-2021 apposite intese che contemplino misure di programmazione e di miglioramento della qualità delle cure e dei servizi erogati e di efficientamento dei costi.</w:t>
      </w:r>
      <w:r w:rsidDel="00000000" w:rsidR="00000000" w:rsidRPr="00000000">
        <w:rPr>
          <w:rtl w:val="0"/>
        </w:rPr>
      </w:r>
    </w:p>
    <w:p w:rsidR="00000000" w:rsidDel="00000000" w:rsidP="00000000" w:rsidRDefault="00000000" w:rsidRPr="00000000" w14:paraId="0000053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45</w:t>
      </w:r>
    </w:p>
    <w:p w:rsidR="00000000" w:rsidDel="00000000" w:rsidP="00000000" w:rsidRDefault="00000000" w:rsidRPr="00000000" w14:paraId="0000053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Disposizioni in materia di fiscalità regionale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3C">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Nelle more del riordino del sistema della fiscalità locale, al decreto legislativo 6 maggio 2011, n. 68, sono apportate le seguenti modificazioni:</w:t>
      </w:r>
    </w:p>
    <w:p w:rsidR="00000000" w:rsidDel="00000000" w:rsidP="00000000" w:rsidRDefault="00000000" w:rsidRPr="00000000" w14:paraId="0000053E">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all'articolo 2, comma 1, la parola: “2020”, ovunque ricorre, è sostituita dalla seguente: “2021”; </w:t>
      </w:r>
    </w:p>
    <w:p w:rsidR="00000000" w:rsidDel="00000000" w:rsidP="00000000" w:rsidRDefault="00000000" w:rsidRPr="00000000" w14:paraId="0000053F">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all'articolo 4: </w:t>
      </w:r>
    </w:p>
    <w:p w:rsidR="00000000" w:rsidDel="00000000" w:rsidP="00000000" w:rsidRDefault="00000000" w:rsidRPr="00000000" w14:paraId="00000540">
      <w:pPr>
        <w:spacing w:after="0" w:lineRule="auto"/>
        <w:ind w:left="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 comma 2, le parole: “Per gli anni dal 2011 al 2019” sono sostituite dalle seguenti: “Per gli anni dal 2011 al 2020” e le parole: “A decorrere dall'anno 2020” sono sostituite dalle seguenti: “A decorrere dall'anno 2021”; </w:t>
      </w:r>
    </w:p>
    <w:p w:rsidR="00000000" w:rsidDel="00000000" w:rsidP="00000000" w:rsidRDefault="00000000" w:rsidRPr="00000000" w14:paraId="00000541">
      <w:pPr>
        <w:spacing w:after="0" w:lineRule="auto"/>
        <w:ind w:left="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 comma 3, le parole: “A decorrere dall'anno 2020” sono sostituite dalle seguenti: “A decorrere dall'anno 2021”; </w:t>
      </w:r>
    </w:p>
    <w:p w:rsidR="00000000" w:rsidDel="00000000" w:rsidP="00000000" w:rsidRDefault="00000000" w:rsidRPr="00000000" w14:paraId="00000542">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all'articolo 7: </w:t>
      </w:r>
    </w:p>
    <w:p w:rsidR="00000000" w:rsidDel="00000000" w:rsidP="00000000" w:rsidRDefault="00000000" w:rsidRPr="00000000" w14:paraId="00000543">
      <w:pPr>
        <w:spacing w:after="0" w:lineRule="auto"/>
        <w:ind w:left="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 comma 1, le parole: “A decorrere dall'anno 2020” sono sostituite dalle seguenti: “A decorrere dall'anno 2021”; </w:t>
      </w:r>
    </w:p>
    <w:p w:rsidR="00000000" w:rsidDel="00000000" w:rsidP="00000000" w:rsidRDefault="00000000" w:rsidRPr="00000000" w14:paraId="00000544">
      <w:pPr>
        <w:spacing w:after="0" w:lineRule="auto"/>
        <w:ind w:left="360" w:firstLine="34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 comma 2, le parole: “entro il 31 luglio 2019” sono sostituite dalle seguenti: “entro il 31 luglio 2020”; </w:t>
      </w:r>
    </w:p>
    <w:p w:rsidR="00000000" w:rsidDel="00000000" w:rsidP="00000000" w:rsidRDefault="00000000" w:rsidRPr="00000000" w14:paraId="00000545">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all'articolo 15, commi 1 e 5, la parola: “2020” è sostituita dalla seguente: “2021”.</w:t>
      </w:r>
    </w:p>
    <w:p w:rsidR="00000000" w:rsidDel="00000000" w:rsidP="00000000" w:rsidRDefault="00000000" w:rsidRPr="00000000" w14:paraId="0000054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54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in esame rinvia al 2021 l’applicazione delle disposizioni recate dal D.Lgs. 06/05/2011, in materia di autonomia di entrata delle regioni a statuto ordinario e delle province, nonché di determinazione dei costi e dei fabbisogni standard nel settore sanitario. </w:t>
      </w:r>
    </w:p>
    <w:p w:rsidR="00000000" w:rsidDel="00000000" w:rsidP="00000000" w:rsidRDefault="00000000" w:rsidRPr="00000000" w14:paraId="0000054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con il </w:t>
      </w:r>
      <w:r w:rsidDel="00000000" w:rsidR="00000000" w:rsidRPr="00000000">
        <w:rPr>
          <w:rFonts w:ascii="Times New Roman" w:cs="Times New Roman" w:eastAsia="Times New Roman" w:hAnsi="Times New Roman"/>
          <w:b w:val="1"/>
          <w:sz w:val="24"/>
          <w:szCs w:val="24"/>
          <w:rtl w:val="0"/>
        </w:rPr>
        <w:t xml:space="preserve">comma 1, lett. a)</w:t>
      </w:r>
      <w:r w:rsidDel="00000000" w:rsidR="00000000" w:rsidRPr="00000000">
        <w:rPr>
          <w:rFonts w:ascii="Times New Roman" w:cs="Times New Roman" w:eastAsia="Times New Roman" w:hAnsi="Times New Roman"/>
          <w:sz w:val="24"/>
          <w:szCs w:val="24"/>
          <w:rtl w:val="0"/>
        </w:rPr>
        <w:t xml:space="preserve"> si rinvia al 2021 l’adozione del decreto del Presidente del Consiglio dei Ministri per la rideterminazione dell'addizionale regionale all'imposta sul reddito delle persone fisiche (IRPEF) con riferimento all'anno di imposta precedente.</w:t>
      </w:r>
    </w:p>
    <w:p w:rsidR="00000000" w:rsidDel="00000000" w:rsidP="00000000" w:rsidRDefault="00000000" w:rsidRPr="00000000" w14:paraId="0000054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il </w:t>
      </w:r>
      <w:r w:rsidDel="00000000" w:rsidR="00000000" w:rsidRPr="00000000">
        <w:rPr>
          <w:rFonts w:ascii="Times New Roman" w:cs="Times New Roman" w:eastAsia="Times New Roman" w:hAnsi="Times New Roman"/>
          <w:b w:val="1"/>
          <w:sz w:val="24"/>
          <w:szCs w:val="24"/>
          <w:rtl w:val="0"/>
        </w:rPr>
        <w:t xml:space="preserve">comma 1, lett. b)</w:t>
      </w:r>
      <w:r w:rsidDel="00000000" w:rsidR="00000000" w:rsidRPr="00000000">
        <w:rPr>
          <w:rFonts w:ascii="Times New Roman" w:cs="Times New Roman" w:eastAsia="Times New Roman" w:hAnsi="Times New Roman"/>
          <w:sz w:val="24"/>
          <w:szCs w:val="24"/>
          <w:rtl w:val="0"/>
        </w:rPr>
        <w:t xml:space="preserve"> si rinvia all’anno 2021 la rideterminazione dell’aliquota di compartecipazione regionale al gettito IVA. Pertanto, anche per il 2020 detta aliquota di compartecipazione regionale continua ad essere calcolata in base alla normativa vigente, al netto di quanto devoluto alle regioni a statuto speciale e delle risorse UE. </w:t>
      </w:r>
    </w:p>
    <w:p w:rsidR="00000000" w:rsidDel="00000000" w:rsidP="00000000" w:rsidRDefault="00000000" w:rsidRPr="00000000" w14:paraId="0000054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il </w:t>
      </w:r>
      <w:r w:rsidDel="00000000" w:rsidR="00000000" w:rsidRPr="00000000">
        <w:rPr>
          <w:rFonts w:ascii="Times New Roman" w:cs="Times New Roman" w:eastAsia="Times New Roman" w:hAnsi="Times New Roman"/>
          <w:b w:val="1"/>
          <w:sz w:val="24"/>
          <w:szCs w:val="24"/>
          <w:rtl w:val="0"/>
        </w:rPr>
        <w:t xml:space="preserve">comma 1, lettera c)</w:t>
      </w:r>
      <w:r w:rsidDel="00000000" w:rsidR="00000000" w:rsidRPr="00000000">
        <w:rPr>
          <w:rFonts w:ascii="Times New Roman" w:cs="Times New Roman" w:eastAsia="Times New Roman" w:hAnsi="Times New Roman"/>
          <w:sz w:val="24"/>
          <w:szCs w:val="24"/>
          <w:rtl w:val="0"/>
        </w:rPr>
        <w:t xml:space="preserve"> viene rinviata al 2021 la soppressione dei trasferimenti dallo Stato alle regioni a statuto ordinario.</w:t>
      </w:r>
    </w:p>
    <w:p w:rsidR="00000000" w:rsidDel="00000000" w:rsidP="00000000" w:rsidRDefault="00000000" w:rsidRPr="00000000" w14:paraId="0000054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46</w:t>
      </w:r>
    </w:p>
    <w:p w:rsidR="00000000" w:rsidDel="00000000" w:rsidP="00000000" w:rsidRDefault="00000000" w:rsidRPr="00000000" w14:paraId="0000054E">
      <w:pPr>
        <w:spacing w:after="0" w:lineRule="auto"/>
        <w:ind w:left="360"/>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Disposizioni sul trasporto pubblico locale</w:t>
      </w:r>
      <w:r w:rsidDel="00000000" w:rsidR="00000000" w:rsidRPr="00000000">
        <w:rPr>
          <w:rFonts w:ascii="Times New Roman" w:cs="Times New Roman" w:eastAsia="Times New Roman" w:hAnsi="Times New Roman"/>
          <w:smallCaps w:val="1"/>
          <w:sz w:val="24"/>
          <w:szCs w:val="24"/>
          <w:rtl w:val="0"/>
        </w:rPr>
        <w:t xml:space="preserve">)</w:t>
      </w:r>
    </w:p>
    <w:p w:rsidR="00000000" w:rsidDel="00000000" w:rsidP="00000000" w:rsidRDefault="00000000" w:rsidRPr="00000000" w14:paraId="0000054F">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5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27 del decreto-legge 24 aprile 2017, n. 50, convertito, con modificazioni, dalla legge 21 giugno 2017, n. 96, sono apportate le seguenti modificazioni:</w:t>
      </w:r>
    </w:p>
    <w:p w:rsidR="00000000" w:rsidDel="00000000" w:rsidP="00000000" w:rsidRDefault="00000000" w:rsidRPr="00000000" w14:paraId="00000551">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 comma 2, alinea, la parola “2018” è sostituita con la parola “2021”;</w:t>
      </w:r>
    </w:p>
    <w:p w:rsidR="00000000" w:rsidDel="00000000" w:rsidP="00000000" w:rsidRDefault="00000000" w:rsidRPr="00000000" w14:paraId="00000552">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al comma 2, lettera c), le parole “secondo anno successivo alla data di entrata in vigore della legge di conversione del presente decreto” sono sostituite con la parola “2022”;</w:t>
      </w:r>
    </w:p>
    <w:p w:rsidR="00000000" w:rsidDel="00000000" w:rsidP="00000000" w:rsidRDefault="00000000" w:rsidRPr="00000000" w14:paraId="00000553">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il comma 2-bis è sostituto dal seguente: “2-bis. Ai fini del riparto del Fondo di cui al comma 1 del presente articolo si tiene annualmente conto delle variazioni per ciascuna Regione in incremento o decremento, rispetto al 2017, dei costi del canone di accesso all'infrastruttura ferroviaria introdotte dalla società Rete ferroviaria italiana Spa, con decorrenza dal 1° gennaio 2018, in ottemperanza ai criteri stabiliti dall'Autorità di Regolazione dei Trasporti ai sensi dell'articolo 37, commi 2 e 3, del decreto-legge 6 dicembre 2011, n. 201, convertito, con modificazioni, dalla legge 22 dicembre 2011, n. 214. Tali variazioni sono determinate a preventivo e consuntivo rispetto al riparto di ciascun anno a partire dal saldo del 2019.</w:t>
      </w:r>
    </w:p>
    <w:p w:rsidR="00000000" w:rsidDel="00000000" w:rsidP="00000000" w:rsidRDefault="00000000" w:rsidRPr="00000000" w14:paraId="0000055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variazioni fissate a preventivo sono soggette a verifica consuntiva ed eventuale conseguente revisione in sede di saldo a partire dall’anno 2020 a seguito di apposita certificazione resa, entro il mese di settembre di ciascun anno, da parte delle imprese esercenti i servizi di trasporto pubblico ferroviario al Ministero delle Infrastrutture e dei Trasporti, per il tramite dell’Osservatorio, di cui all'artico 1, comma 300, della legge 24 dicembre 2007, n. 244, nonché alle Regioni, a pena della sospensione dell’erogazione dei corrispettivi di cui ai relativi contratti di servizio con le Regioni in analogia a quanto disposto al comma 7 dell’art. 16 bis del D.L. 95/2012.</w:t>
      </w:r>
    </w:p>
    <w:p w:rsidR="00000000" w:rsidDel="00000000" w:rsidP="00000000" w:rsidRDefault="00000000" w:rsidRPr="00000000" w14:paraId="0000055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fini del riparto del saldo 2019 si terrà conto dei soli dati a consuntivo relativi alle variazioni 2018 comunicati e certificati dalle Imprese esercenti i servizi di trasporto pubblico ferroviario con le modalità e i tempi di cui alla fine del precedente capoverso e con le medesime penalità in caso di inadempienza.”;</w:t>
      </w:r>
    </w:p>
    <w:p w:rsidR="00000000" w:rsidDel="00000000" w:rsidP="00000000" w:rsidRDefault="00000000" w:rsidRPr="00000000" w14:paraId="00000556">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 comma 4 la parola “Nelle” è sostituita con le parole “A partire dal mese di gennaio 2018 e nelle”;</w:t>
      </w:r>
    </w:p>
    <w:p w:rsidR="00000000" w:rsidDel="00000000" w:rsidP="00000000" w:rsidRDefault="00000000" w:rsidRPr="00000000" w14:paraId="00000557">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al comma 6, le parole “novanta giorni dalla data di entrata in vigore della legge di conversione del presente decreto” sono sostituite dalle seguenti “l’anno 2020” e le parole “e non oltre i successivi centoventi giorni” sono sostituite dalle parole “l’anno 2021” e le parole “entro i predetti centoventi giorni” sono sostituite dalle seguenti: “entro l’anno 2021”;</w:t>
      </w:r>
    </w:p>
    <w:p w:rsidR="00000000" w:rsidDel="00000000" w:rsidP="00000000" w:rsidRDefault="00000000" w:rsidRPr="00000000" w14:paraId="00000558">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al comma 8, le parole “,e comunque non oltre il 31 dicembre 2018” sono soppresse.</w:t>
      </w:r>
    </w:p>
    <w:p w:rsidR="00000000" w:rsidDel="00000000" w:rsidP="00000000" w:rsidRDefault="00000000" w:rsidRPr="00000000" w14:paraId="0000055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55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apporta modifiche all’art. 27 del decreto-legge n. 50 del 2017, disponendo il rinvio della riforma del trasporto pubblico locale.</w:t>
      </w:r>
    </w:p>
    <w:p w:rsidR="00000000" w:rsidDel="00000000" w:rsidP="00000000" w:rsidRDefault="00000000" w:rsidRPr="00000000" w14:paraId="0000055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con il </w:t>
      </w:r>
      <w:r w:rsidDel="00000000" w:rsidR="00000000" w:rsidRPr="00000000">
        <w:rPr>
          <w:rFonts w:ascii="Times New Roman" w:cs="Times New Roman" w:eastAsia="Times New Roman" w:hAnsi="Times New Roman"/>
          <w:b w:val="1"/>
          <w:sz w:val="24"/>
          <w:szCs w:val="24"/>
          <w:rtl w:val="0"/>
        </w:rPr>
        <w:t xml:space="preserve">comma 1, lett. c)</w:t>
      </w:r>
      <w:r w:rsidDel="00000000" w:rsidR="00000000" w:rsidRPr="00000000">
        <w:rPr>
          <w:rFonts w:ascii="Times New Roman" w:cs="Times New Roman" w:eastAsia="Times New Roman" w:hAnsi="Times New Roman"/>
          <w:sz w:val="24"/>
          <w:szCs w:val="24"/>
          <w:rtl w:val="0"/>
        </w:rPr>
        <w:t xml:space="preserve">, viene modificato il comma 2-bis dell’art. 27, prevedendo che, ai fini del riparto del Fondo nazionale per il concorso finanziario dello Stato agli oneri del trasporto pubblico locale, si tiene annualmente conto delle variazioni per ciascuna Regione in incremento o decremento, rispetto al 2017, dei costi del canone di accesso all'infrastruttura ferroviaria introdotte dalla società Rete ferroviaria italiana Spa, con decorrenza dal 1° gennaio 2018, in ottemperanza ai criteri stabiliti dall'Autorità di Regolazione dei Trasporti. Tali variazioni sono determinate a preventivo e consuntivo rispetto al riparto di ciascun anno a partire dal saldo del 2019. Le variazioni fissate a preventivo sono soggette a verifica consuntiva ed eventuale conseguente revisione in sede di saldo a partire dall’anno 2020 a seguito di apposita certificazione da rendere entro il mese di settembre di ciascun anno. Ai fini del riparto del saldo 2019 si terrà conto dei soli dati a consuntivo relativi alle variazioni 2018 comunicati e certificati dalle imprese esercenti i servizi di trasporto pubblico ferroviario. </w:t>
      </w:r>
    </w:p>
    <w:p w:rsidR="00000000" w:rsidDel="00000000" w:rsidP="00000000" w:rsidRDefault="00000000" w:rsidRPr="00000000" w14:paraId="0000055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47</w:t>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Soppressione rendicontazione dei comuni</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60">
      <w:pPr>
        <w:spacing w:after="0" w:lineRule="auto"/>
        <w:ind w:hanging="14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56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228, comma 5, del decreto legislativo 18 agosto 2000, n. 267 il secondo periodo è soppresso.</w:t>
      </w:r>
    </w:p>
    <w:p w:rsidR="00000000" w:rsidDel="00000000" w:rsidP="00000000" w:rsidRDefault="00000000" w:rsidRPr="00000000" w14:paraId="0000056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All’articolo 243 del decreto legislativo 18 agosto 2000, n. 267, sono apportate le seguenti modificazioni:</w:t>
      </w:r>
    </w:p>
    <w:p w:rsidR="00000000" w:rsidDel="00000000" w:rsidP="00000000" w:rsidRDefault="00000000" w:rsidRPr="00000000" w14:paraId="00000563">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 comma 5, primo periodo, le parole: “certificato di bilancio di cui all'articolo 161” sono sostituite dalle seguenti: “rendiconto della gestione”; al secondo periodo, le parole: “Ove non risulti presentato il certificato di bilancio del penultimo anno precedente, si fa riferimento all'ultimo certificato disponibile” sono sostituite dalle seguenti: “Ove non risulti inviato alla banca dati delle amministrazioni pubbliche di cui all’articolo 13 della legge 31 dicembre 2009, n. 196, il rendiconto della gestione del penultimo anno precedente, si fa riferimento all'ultimo rendiconto presente nella stessa banca dati o, in caso di ulteriore indisponibilità, in quella dei certificati di bilancio del Ministero dell’interno.”;</w:t>
      </w:r>
    </w:p>
    <w:p w:rsidR="00000000" w:rsidDel="00000000" w:rsidP="00000000" w:rsidRDefault="00000000" w:rsidRPr="00000000" w14:paraId="00000564">
      <w:pPr>
        <w:spacing w:after="0" w:lineRule="auto"/>
        <w:ind w:firstLine="708"/>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b)  il comma 6 è sostituito dal seguente: “6. Sono soggetti, in via provvisoria, ai controlli centrali di cui al comma 2, sino all’adempimento: a) gli enti locali per i quali non sia intervenuta nei termini di legge la deliberazione del rendiconto della gestione; b) gli enti locali che non inviino il rendiconto della gestione alla banca dati delle amministrazioni pubbliche entro 30 giorni dal termine previsto per la deliberazione.”. </w:t>
      </w:r>
    </w:p>
    <w:p w:rsidR="00000000" w:rsidDel="00000000" w:rsidP="00000000" w:rsidRDefault="00000000" w:rsidRPr="00000000" w14:paraId="0000056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All’articolo 1, comma 142, della legge 30 dicembre 2018, n. 145, l’ultimo periodo è sostituito dal seguente: “Nel caso di comuni per i quali sono sospesi per legge i termini di approvazione del rendiconto di gestione di riferimento, le informazioni di cui al primo periodo sono desunte dall'ultimo rendiconto della gestione trasmesso alla citata banca dati.”.</w:t>
      </w:r>
    </w:p>
    <w:p w:rsidR="00000000" w:rsidDel="00000000" w:rsidP="00000000" w:rsidRDefault="00000000" w:rsidRPr="00000000" w14:paraId="0000056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67">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illustrativa</w:t>
      </w:r>
    </w:p>
    <w:p w:rsidR="00000000" w:rsidDel="00000000" w:rsidP="00000000" w:rsidRDefault="00000000" w:rsidRPr="00000000" w14:paraId="0000056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69">
      <w:pPr>
        <w:spacing w:after="0" w:lineRule="auto"/>
        <w:jc w:val="both"/>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L’art. 1, comma 902, della legge 30 dicembre 2018, n. 145, ha disposto che, a decorrere dal bilancio di previsione 2019, l'invio dei bilanci di previsione e dei rendiconti alla banca dati delle amministrazioni pubbliche di cui all'articolo 13 della legge 31 dicembre 2009, n. 196, sostituisce la trasmissione delle certificazioni sui principali dati del bilancio di previsione e del rendiconto della gestione al Ministero dell'interno da parte dei comuni, delle province, delle città metropolitane, delle unioni di comuni e delle comunità montane.</w:t>
      </w:r>
    </w:p>
    <w:p w:rsidR="00000000" w:rsidDel="00000000" w:rsidP="00000000" w:rsidRDefault="00000000" w:rsidRPr="00000000" w14:paraId="0000056A">
      <w:pPr>
        <w:spacing w:after="0" w:lineRule="auto"/>
        <w:jc w:val="both"/>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sz w:val="24"/>
          <w:szCs w:val="24"/>
          <w:rtl w:val="0"/>
        </w:rPr>
        <w:t xml:space="preserve">Con l’avvenuta sostituzione della trasmissione delle certificazioni di bilancio al Ministero dell’Interno con l’invio di bilanci e rendiconti a BDAP, la previsione di cui all’art. 228, comma 5, secondo periodo, che pone a carico degli enti locali l’onere di allegare la tabella dei parametri di riscontro della situazione di deficitarietà strutturale ed il piano degli indicatori e dei risultati di bilancio anche al certificato del rendiconto diviene con tutta evidenza non più necessaria ed il comma 1 ne dispone la soppressione.</w:t>
      </w:r>
    </w:p>
    <w:p w:rsidR="00000000" w:rsidDel="00000000" w:rsidP="00000000" w:rsidRDefault="00000000" w:rsidRPr="00000000" w14:paraId="0000056B">
      <w:pPr>
        <w:spacing w:after="0" w:lineRule="auto"/>
        <w:jc w:val="both"/>
        <w:rPr>
          <w:rFonts w:ascii="Times New Roman" w:cs="Times New Roman" w:eastAsia="Times New Roman" w:hAnsi="Times New Roman"/>
          <w:sz w:val="24"/>
          <w:szCs w:val="24"/>
        </w:rPr>
      </w:pPr>
      <w:bookmarkStart w:colFirst="0" w:colLast="0" w:name="_heading=h.2et92p0" w:id="4"/>
      <w:bookmarkEnd w:id="4"/>
      <w:r w:rsidDel="00000000" w:rsidR="00000000" w:rsidRPr="00000000">
        <w:rPr>
          <w:rFonts w:ascii="Times New Roman" w:cs="Times New Roman" w:eastAsia="Times New Roman" w:hAnsi="Times New Roman"/>
          <w:sz w:val="24"/>
          <w:szCs w:val="24"/>
          <w:rtl w:val="0"/>
        </w:rPr>
        <w:t xml:space="preserve">Preme sottolineare che la citata norma ha assicurato, in vigenza della formulazione dell’articolo 161 del TUEL che è cessato il 1° novembre 2019, l’acquisizione da parte del Ministero dell’interno dei parametri obiettivi necessari per l’individuazione degli enti locali strutturalmente deficitari (prevista dall’art. 242 TUEL) e per l’attivazione dei conseguenti controlli su dotazioni organiche, assunzioni di personale e copertura del costo di taluni servizi (prescritti dall’art. 243 TUEL), nonché, a fini conoscitivi e di valutazione, di alcuni indicatori di bilancio. </w:t>
      </w:r>
    </w:p>
    <w:p w:rsidR="00000000" w:rsidDel="00000000" w:rsidP="00000000" w:rsidRDefault="00000000" w:rsidRPr="00000000" w14:paraId="0000056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 funzione di trasmissione dagli enti locali al Ministero dell’interno di parametri ed indicatori verrà ora svolta per il tramite di BDAP. A tal fine il decreto del Ministero dell’Economia e delle Finanze di concerto con il Ministero dell’Interno e con la Presidenza del Consiglio dei Ministri in data 1° agosto 2019, ha disposto, tra l’altro, l’aggiornamento degli schemi del bilancio di previsione e del rendiconto della gestione (allegati n. 9 e 10 al d.lgs. 118/2011) inserendo, per quanto qui rileva, le tabelle contenenti i parametri di deficitarietà strutturale (definite dal decreto del Ministro dell’Interno di concerto con il Ministro dell’economia e delle finanze del 28 dicembre 2018) come allegati 4, 5 e 6 allo schema di rendiconto, a decorrere da quello relativo all’anno 2019.</w:t>
      </w:r>
    </w:p>
    <w:p w:rsidR="00000000" w:rsidDel="00000000" w:rsidP="00000000" w:rsidRDefault="00000000" w:rsidRPr="00000000" w14:paraId="0000056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BDAP, acquisiti rendiconti ed allegati dagli enti locali provvederà a trasmettere al Ministero dell’Interno, con procedura informatica, sia le tabelle dei parametri di riscontro della situazione di deficitarietà strutturale che il piano degli indicatori e dei risultati di bilancio, ora, per l’appunto, entrambi allegati allo schema di rendiconto che gli enti locali sono tenuti a trasmettere alla citata banca dati con le modalità previste dal DM 12 maggio 2016.</w:t>
      </w:r>
    </w:p>
    <w:p w:rsidR="00000000" w:rsidDel="00000000" w:rsidP="00000000" w:rsidRDefault="00000000" w:rsidRPr="00000000" w14:paraId="0000056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Anche le modifiche all’art. 243 del TUEL, previste al successivo comma 2, discendono dal disposto di cui ai citati commi 902 e 903 dell’art. 1 della legge n. 145 del 2018.</w:t>
      </w:r>
    </w:p>
    <w:p w:rsidR="00000000" w:rsidDel="00000000" w:rsidP="00000000" w:rsidRDefault="00000000" w:rsidRPr="00000000" w14:paraId="0000056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sostituzione della trasmissione delle certificazioni di bilancio al Ministero dell’Interno con l’invio di bilanci e rendiconti a BDAP e le nuove modalità di acquisizione delle tabelle di deficitarietà da parte del citato Dicastero infatti richiedono la riformulazione dei commi 5 e 6 dell’art. 243, con l’eliminazione dei riferimenti al soppresso certificato di bilancio ed all’art. 161, ora novellato, e la loro sostituzione con quelli al rendiconto della gestione ed all’invio dello stesso a BDAP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secondo la previsione dell’articolo 13 della legge 31 dicembre 2009, n. 196.</w:t>
      </w:r>
    </w:p>
    <w:p w:rsidR="00000000" w:rsidDel="00000000" w:rsidP="00000000" w:rsidRDefault="00000000" w:rsidRPr="00000000" w14:paraId="0000057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ultimo, anche le modifiche proposte all’art. 243 del TUEL discendono dal disposto di cui ai citati commi 902 e 903 dell’art. 1 della legge n. 145 del 2018.</w:t>
      </w:r>
    </w:p>
    <w:p w:rsidR="00000000" w:rsidDel="00000000" w:rsidP="00000000" w:rsidRDefault="00000000" w:rsidRPr="00000000" w14:paraId="00000571">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72">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tecnica</w:t>
      </w:r>
    </w:p>
    <w:p w:rsidR="00000000" w:rsidDel="00000000" w:rsidP="00000000" w:rsidRDefault="00000000" w:rsidRPr="00000000" w14:paraId="00000573">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7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disposizioni non comportano nuovi e maggiori oneri per la finanza pubblica. </w:t>
      </w:r>
    </w:p>
    <w:p w:rsidR="00000000" w:rsidDel="00000000" w:rsidP="00000000" w:rsidRDefault="00000000" w:rsidRPr="00000000" w14:paraId="0000057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7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7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48</w:t>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Assegnazione di risorse per investimenti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7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1, della legge 30 dicembre 2018, n.145 sono apportate le seguenti modificazioni:</w:t>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al comma 134 dopo le parole “del territorio” sono aggiunte le seguenti: “nonché per interventi in viabilità e per la messa in sicurezza e lo sviluppo di sistemi di trasporto pubblico anche con la finalità di ridurre l’inquinamento ambientale, per la rigenerazione urbana e la riconversione energetica verso fonti rinnovabili, per le infrastrutture sociali e le bonifiche ambientali dei siti inquinati”;</w:t>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comma 135, lettera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sono aggiunte le seguenti parole: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c0c0c"/>
          <w:sz w:val="24"/>
          <w:szCs w:val="24"/>
          <w:u w:val="none"/>
          <w:shd w:fill="auto" w:val="clear"/>
          <w:vertAlign w:val="baseline"/>
          <w:rtl w:val="0"/>
        </w:rPr>
        <w:t xml:space="preserve">nonché per interventi in viabilità e trasporti anche con la finalità di ridurre l’inquinamento ambientale”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c0c0c"/>
          <w:sz w:val="24"/>
          <w:szCs w:val="24"/>
          <w:u w:val="none"/>
          <w:shd w:fill="auto" w:val="clear"/>
          <w:vertAlign w:val="baseline"/>
          <w:rtl w:val="0"/>
        </w:rPr>
        <w:t xml:space="preserve">e dopo la lettera c)</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aggiunte le seguenti: </w:t>
      </w:r>
      <w:r w:rsidDel="00000000" w:rsidR="00000000" w:rsidRPr="00000000">
        <w:rPr>
          <w:rtl w:val="0"/>
        </w:rPr>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la messa in sicurezza e lo sviluppo di sistemi di trasporto pubblico di massa finalizzati al trasferimento modale verso forme di mobilità maggiormente sostenibili e alla riduzione delle emissioni climalteranti; </w: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progetti di rigenerazione urbana, riconversione energetica e utilizzo fonti rinnovabili;</w:t>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per infrastrutture sociali;</w:t>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le bonifiche ambientali dei siti inquinati.”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8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58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r w:rsidDel="00000000" w:rsidR="00000000" w:rsidRPr="00000000">
        <w:rPr>
          <w:rtl w:val="0"/>
        </w:rPr>
      </w:r>
    </w:p>
    <w:p w:rsidR="00000000" w:rsidDel="00000000" w:rsidP="00000000" w:rsidRDefault="00000000" w:rsidRPr="00000000" w14:paraId="0000058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norma proposta mira ad ampliare gli interventi previsti dalla norma, in coerenza con gli obiettivi definiti dalla nota di aggiornamento al DEF 2019, anche agli investimenti nel settore dei trasporti e viabilità con la finalità di ridurre l’inquinamento ambientale, a quelli per la rigenerazione urbana e la riconversione energetica verso fonti rinnovabili, alle infrastrutture sociali e alle bonifiche ambientali. </w:t>
      </w:r>
    </w:p>
    <w:p w:rsidR="00000000" w:rsidDel="00000000" w:rsidP="00000000" w:rsidRDefault="00000000" w:rsidRPr="00000000" w14:paraId="0000058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8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norma, limitandosi ad ampliare gli interventi realizzabili con risorse già assegnate per investimenti, non determina oneri per la finanza pubblica.</w:t>
      </w:r>
    </w:p>
    <w:p w:rsidR="00000000" w:rsidDel="00000000" w:rsidP="00000000" w:rsidRDefault="00000000" w:rsidRPr="00000000" w14:paraId="0000058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8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49</w:t>
      </w:r>
    </w:p>
    <w:p w:rsidR="00000000" w:rsidDel="00000000" w:rsidP="00000000" w:rsidRDefault="00000000" w:rsidRPr="00000000" w14:paraId="0000058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Disposizioni in materia di tempi di pagamento dei debiti commerciali della P.A.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8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1 della legge 30 dicembre 2018, n. 145 sono apportate le seguenti modifiche:</w:t>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è abrogato il comma 857;</w:t>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al comma 861, le parole: “i tempi di pagamento e ritardo” sono sostituite dalle seguenti: “gli indicatori”;</w:t>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al comma 861 sono aggiunti, in fine, i seguenti periodi: “Limitatamente all’esercizio 2019, gli indicatori di cui al comma 859 possono essere elaborati sulla base delle informazioni presenti nelle registrazioni contabili dell’ente con le modalità fissate dal presente comma. Gli enti che si avvalgono di tale facoltà effettuano la comunicazione di cui al comma 867 con riferimento all’esercizio 2019 anche se hanno adottato SIOPE+.”;</w:t>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al comma 862, le parole “Entro il 31 gennaio” sono sostituite dalle seguenti: “Entro il 28 febbraio”.</w:t>
      </w:r>
    </w:p>
    <w:p w:rsidR="00000000" w:rsidDel="00000000" w:rsidP="00000000" w:rsidRDefault="00000000" w:rsidRPr="00000000" w14:paraId="0000059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All’articolo 7 del decreto-legge 8 aprile 2013, n. 35, convertito, con modificazioni dalla legge 6 giugno 2013, n. 64, sono apportate le seguenti modificazioni: al comma 4-</w:t>
      </w:r>
      <w:r w:rsidDel="00000000" w:rsidR="00000000" w:rsidRPr="00000000">
        <w:rPr>
          <w:rFonts w:ascii="Times New Roman" w:cs="Times New Roman" w:eastAsia="Times New Roman" w:hAnsi="Times New Roman"/>
          <w:i w:val="1"/>
          <w:sz w:val="24"/>
          <w:szCs w:val="24"/>
          <w:rtl w:val="0"/>
        </w:rPr>
        <w:t xml:space="preserve">bis</w:t>
      </w:r>
      <w:r w:rsidDel="00000000" w:rsidR="00000000" w:rsidRPr="00000000">
        <w:rPr>
          <w:rFonts w:ascii="Times New Roman" w:cs="Times New Roman" w:eastAsia="Times New Roman" w:hAnsi="Times New Roman"/>
          <w:sz w:val="24"/>
          <w:szCs w:val="24"/>
          <w:rtl w:val="0"/>
        </w:rPr>
        <w:t xml:space="preserve"> le parole: </w:t>
      </w:r>
      <w:r w:rsidDel="00000000" w:rsidR="00000000" w:rsidRPr="00000000">
        <w:rPr>
          <w:rFonts w:ascii="Times New Roman" w:cs="Times New Roman" w:eastAsia="Times New Roman" w:hAnsi="Times New Roman"/>
          <w:i w:val="1"/>
          <w:sz w:val="24"/>
          <w:szCs w:val="24"/>
          <w:rtl w:val="0"/>
        </w:rPr>
        <w:t xml:space="preserve">“entro il 30 aprile”</w:t>
      </w:r>
      <w:r w:rsidDel="00000000" w:rsidR="00000000" w:rsidRPr="00000000">
        <w:rPr>
          <w:rFonts w:ascii="Times New Roman" w:cs="Times New Roman" w:eastAsia="Times New Roman" w:hAnsi="Times New Roman"/>
          <w:sz w:val="24"/>
          <w:szCs w:val="24"/>
          <w:rtl w:val="0"/>
        </w:rPr>
        <w:t xml:space="preserve"> sono sostituite dalle seguenti: </w:t>
      </w:r>
      <w:r w:rsidDel="00000000" w:rsidR="00000000" w:rsidRPr="00000000">
        <w:rPr>
          <w:rFonts w:ascii="Times New Roman" w:cs="Times New Roman" w:eastAsia="Times New Roman" w:hAnsi="Times New Roman"/>
          <w:i w:val="1"/>
          <w:sz w:val="24"/>
          <w:szCs w:val="24"/>
          <w:rtl w:val="0"/>
        </w:rPr>
        <w:t xml:space="preserve">“entro il 31 gennaio”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9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Entro il 1° gennaio 2021 le amministrazioni pubbliche di cui all’articolo 1, comma 2, della legge n. 196 del 2009, che si avvalgono dell’Ordinativo Informatico di Pagamento (OPI) di cui all’articolo 14, comma 8-bis, della legge 31 dicembre 2009, n. 196, sono tenute ad inserire nello stesso Ordinativo la data di scadenza della fattura.  Conseguentemente, a decorrere dalla suddetta data, per le medesime amministrazioni viene meno l’obbligo di comunicazione mensile di cui all’articolo 7-bis, comma 4, del decreto-legge 8 aprile 2013, n. 35, convertito, con modificazioni, dalla legge 6 giugno 2013, n. 64.</w:t>
      </w:r>
    </w:p>
    <w:p w:rsidR="00000000" w:rsidDel="00000000" w:rsidP="00000000" w:rsidRDefault="00000000" w:rsidRPr="00000000" w14:paraId="0000059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5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le norme proposte in materia di tempi di pagamento dei debiti commerciali della PA, vengono apportate modifiche al quadro vigente, per superare alcune criticità applicative emerse. </w:t>
      </w:r>
    </w:p>
    <w:p w:rsidR="00000000" w:rsidDel="00000000" w:rsidP="00000000" w:rsidRDefault="00000000" w:rsidRPr="00000000" w14:paraId="000005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b w:val="1"/>
          <w:sz w:val="24"/>
          <w:szCs w:val="24"/>
          <w:rtl w:val="0"/>
        </w:rPr>
        <w:t xml:space="preserve">comma 1 </w:t>
      </w:r>
      <w:r w:rsidDel="00000000" w:rsidR="00000000" w:rsidRPr="00000000">
        <w:rPr>
          <w:rFonts w:ascii="Times New Roman" w:cs="Times New Roman" w:eastAsia="Times New Roman" w:hAnsi="Times New Roman"/>
          <w:sz w:val="24"/>
          <w:szCs w:val="24"/>
          <w:rtl w:val="0"/>
        </w:rPr>
        <w:t xml:space="preserve">introduce modifiche alle norme dettate dalla legge 145/2018 e, in particolare:</w:t>
      </w:r>
    </w:p>
    <w:p w:rsidR="00000000" w:rsidDel="00000000" w:rsidP="00000000" w:rsidRDefault="00000000" w:rsidRPr="00000000" w14:paraId="000005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lettera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abroga l’articolo 1, comma 857 della legge 145, che prevede il raddoppio delle misure di garanzia che gli enti sono tenuti ad applicare in caso di mancato rispetto dei termini di pagamento delle transazioni commerciali (definiti dall’art. 4 del D. Lgs. 231/2002) e di mancata riduzione del debito commerciale residuo, nel caso in cui gli enti medesimi non abbiano richiesto l’anticipazione di liquidità ai sensi dei commi 849 e seguenti o, pur avendola richiesta, non abbiano effettuato i relativi pagamenti nei tempi fissati dal comma 854;</w:t>
      </w:r>
    </w:p>
    <w:p w:rsidR="00000000" w:rsidDel="00000000" w:rsidP="00000000" w:rsidRDefault="00000000" w:rsidRPr="00000000" w14:paraId="000005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lettera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apporta una precisazione, sostituendo al comma 861, le parole “i tempi di pagamento e ritardo” con “gli indicatori”;</w:t>
      </w:r>
    </w:p>
    <w:p w:rsidR="00000000" w:rsidDel="00000000" w:rsidP="00000000" w:rsidRDefault="00000000" w:rsidRPr="00000000" w14:paraId="000005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lettera 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stabilisce che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indicatori relativi al ritardo annuale dei pagamenti e al debito commerciale residuo, da prendere a riferimento per l’applicazione delle misure di garanzia come definite dai commi 862-864 e limitatamente all’esercizio 2019, possono essere quelli elaborati dall’ente, sulla base delle informazioni presenti nelle proprie registrazioni contabili e non quelli elaborati dalla Piattaforma elettronica per la gestione telematica del rilascio delle certificazioni (PCC), come previsto dal comma 861. Qualora l’ente decida di avvalersi di tale facoltà, dovrà effettuare la comunicazione alla stessa PCC dello stock di debito commerciale residuo al 31.12.2019, anche se utilizza gli strumenti dispositivi dei pagamenti resi disponibili dall’applicativo SIOPE+;</w:t>
      </w:r>
    </w:p>
    <w:p w:rsidR="00000000" w:rsidDel="00000000" w:rsidP="00000000" w:rsidRDefault="00000000" w:rsidRPr="00000000" w14:paraId="000005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lettera 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comma 862 prevede che gli enti che adottano la contabilità finanziaria e hanno rilevato indicatori di ritardo annuale dei pagamenti e di debito commerciale residuo non in linea con quanto stabilito nel comma 859 adottino una delibera - di giunta o del consiglio di amministrazione – con cui viene stanziato nella parte corrente del proprio bilancio un accantonamento denominato “Fondo garanzia debiti commerciali”; la norma proposta alla lettera d) sposta il termine per l’adozione della delibera dal 31 gennaio al 28 febbraio.</w:t>
      </w:r>
    </w:p>
    <w:p w:rsidR="00000000" w:rsidDel="00000000" w:rsidP="00000000" w:rsidRDefault="00000000" w:rsidRPr="00000000" w14:paraId="000005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b w:val="1"/>
          <w:sz w:val="24"/>
          <w:szCs w:val="24"/>
          <w:rtl w:val="0"/>
        </w:rPr>
        <w:t xml:space="preserve">comma 2</w:t>
      </w:r>
      <w:r w:rsidDel="00000000" w:rsidR="00000000" w:rsidRPr="00000000">
        <w:rPr>
          <w:rFonts w:ascii="Times New Roman" w:cs="Times New Roman" w:eastAsia="Times New Roman" w:hAnsi="Times New Roman"/>
          <w:sz w:val="24"/>
          <w:szCs w:val="24"/>
          <w:rtl w:val="0"/>
        </w:rPr>
        <w:t xml:space="preserve"> anticipa al 31 gennaio il termine fissato al 30 aprile dall’art. 7, comma 4-bis del DL 35/2013. Si tratta del termine per la comunicazione annuale alla PCC dell’elenco completo dei debiti certi, liquidi ed esigibili al 31 dicembre dell’esercizio precedente, cui sono tenute le amministrazioni pubbliche.</w:t>
      </w:r>
    </w:p>
    <w:p w:rsidR="00000000" w:rsidDel="00000000" w:rsidP="00000000" w:rsidRDefault="00000000" w:rsidRPr="00000000" w14:paraId="000005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b w:val="1"/>
          <w:sz w:val="24"/>
          <w:szCs w:val="24"/>
          <w:rtl w:val="0"/>
        </w:rPr>
        <w:t xml:space="preserve">comma 3</w:t>
      </w:r>
      <w:r w:rsidDel="00000000" w:rsidR="00000000" w:rsidRPr="00000000">
        <w:rPr>
          <w:rFonts w:ascii="Times New Roman" w:cs="Times New Roman" w:eastAsia="Times New Roman" w:hAnsi="Times New Roman"/>
          <w:sz w:val="24"/>
          <w:szCs w:val="24"/>
          <w:rtl w:val="0"/>
        </w:rPr>
        <w:t xml:space="preserve"> stabilisce che le amministrazioni pubbliche di cui all’art. 1, comma 2, della legge n. 196/2009, che si avvalgono dell’Ordinativo Informatico di Pagamento (OPI), sono tenute ad inserire nello stesso Ordinativo la data di scadenza della fattura. L’obbligo dell’adempimento è previsto entro il 1° gennaio 2021. In virtù di tale adempimento, che assicura una migliore registrazione dei pagamenti delle fatture sulla PCC, a decorrere da tale data viene meno per le stesse amministrazioni l’obbligo di comunicare mensilmente sulla PCC i dati relativi ai debiti commerciali non estinti e scaduti. </w:t>
      </w:r>
    </w:p>
    <w:p w:rsidR="00000000" w:rsidDel="00000000" w:rsidP="00000000" w:rsidRDefault="00000000" w:rsidRPr="00000000" w14:paraId="0000059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5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di carattere ordinamentale, non determina nuovi o maggiori oneri a carico della finanza pubblica.</w:t>
      </w:r>
    </w:p>
    <w:p w:rsidR="00000000" w:rsidDel="00000000" w:rsidP="00000000" w:rsidRDefault="00000000" w:rsidRPr="00000000" w14:paraId="0000059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50</w:t>
      </w:r>
    </w:p>
    <w:p w:rsidR="00000000" w:rsidDel="00000000" w:rsidP="00000000" w:rsidRDefault="00000000" w:rsidRPr="00000000" w14:paraId="000005A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Attività informatiche in favore di organismi pubblici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A1">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 fine di migliorare l’efficacia e l’efficienza dell’azione amministrativa ed al fine di favorire la sinergia tra processi istituzionali afferenti ambiti affini, favorendo la digitalizzazione dei servizi e dei processi attraverso interventi di consolidamento delle infrastrutture, razionalizzazione dei sistemi informativi e interoperabilità tra le banche dati, in coerenza con le strategie del Piano triennale per l’informatica nella pubblica amministrazione, la Società di cui all’articolo 83, comma 15, del decreto-legge 25 giugno 2008, n. 112, convertito, con modificazioni, dalla legge 6 agosto 2008, n. 133, può offrire servizi informatici strumentali al raggiungimento degli obiettivi propri delle pubbliche amministrazioni e delle società pubbliche da esse controllate. </w:t>
      </w:r>
    </w:p>
    <w:p w:rsidR="00000000" w:rsidDel="00000000" w:rsidP="00000000" w:rsidRDefault="00000000" w:rsidRPr="00000000" w14:paraId="000005A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Le pubbliche amministrazioni, anche nell’interesse delle società pubbliche da esse controllate, individuano con atti generali adottati nel rispetto dei relativi ordinamenti gli ambiti di intervento e definiscono i servizi di natura informatica da riservare alla Società di cui all'articolo 83, comma 15, del decreto-legge 25 giugno 2008, n. 112, convertito, con modificazioni, dalla legge 6 agosto 2008, n. 133, da erogare tramite apposite convenzioni. </w:t>
      </w:r>
    </w:p>
    <w:p w:rsidR="00000000" w:rsidDel="00000000" w:rsidP="00000000" w:rsidRDefault="00000000" w:rsidRPr="00000000" w14:paraId="000005A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 sede di prima attuazione delle disposizioni di cui ai commi 1 e 2 ed in coerenza con gli obiettivi generali ivi indicati possono avvalersi della Società di cui all’articolo 83, comma 15, del decreto-legge 25 giugno 2008, n. 112, convertito, con modificazioni, dalla legge 6 agosto 2008, n. 133:</w:t>
      </w:r>
    </w:p>
    <w:p w:rsidR="00000000" w:rsidDel="00000000" w:rsidP="00000000" w:rsidRDefault="00000000" w:rsidRPr="00000000" w14:paraId="000005A5">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il Consiglio di Stato, al fine di assicurare la sicurezza, la continuità e lo sviluppo del sistema informatico della giustizia amministrativa;</w:t>
      </w:r>
    </w:p>
    <w:p w:rsidR="00000000" w:rsidDel="00000000" w:rsidP="00000000" w:rsidRDefault="00000000" w:rsidRPr="00000000" w14:paraId="000005A6">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l’Avvocatura dello Stato, al fine di assicurare la sicurezza, la continuità e lo sviluppo del sistema informatico, anche in relazione ai processi telematici nei quali è chiamata a patrocinare dinanzi alla giustizia contabile e alla giustizia tributaria;</w:t>
      </w:r>
    </w:p>
    <w:p w:rsidR="00000000" w:rsidDel="00000000" w:rsidP="00000000" w:rsidRDefault="00000000" w:rsidRPr="00000000" w14:paraId="000005A7">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l’amministrazione di cui all’articolo 3 della legge 28 gennaio 1994, n. 84, a decorrere dal 1° gennaio 2020, al fine di rendere effettive le norme relative all’istituzione di un “sistema comunitario di monitoraggio e di informazione sul traffico navale”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ivi incluso il sistema denominato Port Management and Information System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(PMIS) inerente la digitalizzazione dei procedimenti amministrativi afferenti le attività portuali, da realizzarsi a cura dell’amministrazione marittima, nonché di sviluppare, mediante utilizzo degli ordinari stanziamenti di bilancio, senza nuovi o maggiori oneri per la finanza pubblica,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sistemi informativi a supporto delle attività della stessa amministrazione marittima;</w:t>
      </w:r>
    </w:p>
    <w:p w:rsidR="00000000" w:rsidDel="00000000" w:rsidP="00000000" w:rsidRDefault="00000000" w:rsidRPr="00000000" w14:paraId="000005A8">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la Società di cui all’articolo 33, comma 1, del decreto-legge 06 luglio 2011, n. 98, convertito in legge, con modificazioni, dall'articolo 1, comma 1, Legge 15 luglio 2011, n. 111 al fine di assicurare e implementare le possibili sinergie con i sistemi informativi del Ministero dell’economia e delle finanze e dell’Agenzia del demanio;</w:t>
      </w:r>
    </w:p>
    <w:p w:rsidR="00000000" w:rsidDel="00000000" w:rsidP="00000000" w:rsidRDefault="00000000" w:rsidRPr="00000000" w14:paraId="000005A9">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la Società di cui all’articolo 8, comma 2, del decreto-legge 14 dicembre 2018, n. 135, convertito in legge, con modificazioni, dall'articolo 1, comma 1, Legge 11 febbraio 2019, n. 12 al fine di favorire la diffusione, l’evoluzione, l’integrazione e le possibili sinergie delle piattaforme immateriali abilitanti la digitalizzazione della PA, di cui al Piano Triennale per l’informatica nella pubblica amministrazione, razionalizzando le infrastrutture sottostanti e le modalità di realizzazione.</w:t>
      </w:r>
    </w:p>
    <w:p w:rsidR="00000000" w:rsidDel="00000000" w:rsidP="00000000" w:rsidRDefault="00000000" w:rsidRPr="00000000" w14:paraId="000005A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51</w:t>
      </w:r>
    </w:p>
    <w:p w:rsidR="00000000" w:rsidDel="00000000" w:rsidP="00000000" w:rsidRDefault="00000000" w:rsidRPr="00000000" w14:paraId="000005A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Incentivi per l'acquisto dei dispositivi antiabbandono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AD">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All’articolo 3, comma 1, della legge 1 ottobre 2018, n. 117, le parole “agevolazioni fiscali” sono sostituite dalle seguenti “agevolazioni, anche nella forma di contributi,”.</w:t>
      </w:r>
    </w:p>
    <w:p w:rsidR="00000000" w:rsidDel="00000000" w:rsidP="00000000" w:rsidRDefault="00000000" w:rsidRPr="00000000" w14:paraId="000005A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All’articolo 1 della legge 30 dicembre 2018, n. 145, dopo il comma 296 è inserito il seguente: “296 - bis. Per le medesime finalità di cui al comma 296, è istituito presso il Ministero delle infrastrutture e dei trasporto un apposito fondo, cui confluiscono le risorse di cui al comma 296 nonché l’ulteriore somma, per l’anno 2019, di euro 14,1 milioni di euro, mediante corrispondente riduzione dell’autorizzazione di spesa di cui all’articolo 12, comma 18, del decreto – legge 28 settembre 2018, n. 109, convertito con modificazioni dalla legge 16 novembre 2018, n. 130. Le agevolazioni di cui all’articolo 3 della legge 1 ottobre 2018, n. 117, per l’anno 2019 e 2020, consistono nel riconoscimento di un contributo, fino ad esaurimento delle risorse di cui al primo periodo e al comma 296, della somma di euro 30 per ciascun dispositivo di allarme acquistato. Con decreto del Ministero delle infrastrutture e dei trasporti, da adottare entro trenta giorni dalla data di entrata in vigore del presente decreto, sono disciplinate le modalità attuative della presente disposizione. ”.</w:t>
      </w:r>
    </w:p>
    <w:p w:rsidR="00000000" w:rsidDel="00000000" w:rsidP="00000000" w:rsidRDefault="00000000" w:rsidRPr="00000000" w14:paraId="000005B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All’articolo 12, comma 18, del decreto–legge 28 settembre 2018, n. 109, convertito, con modificazioni, dalla legge 16 novembre 2018, n. 130, le parole “14.100.000 euro per l'anno 2019, e” sono soppresse.</w:t>
      </w:r>
    </w:p>
    <w:p w:rsidR="00000000" w:rsidDel="00000000" w:rsidP="00000000" w:rsidRDefault="00000000" w:rsidRPr="00000000" w14:paraId="000005B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 Il Ministero dell’economia e delle finanze è autorizzato ad apportare, con propri decreti, le occorrenti variazioni di bilancio.</w:t>
      </w:r>
      <w:r w:rsidDel="00000000" w:rsidR="00000000" w:rsidRPr="00000000">
        <w:rPr>
          <w:rtl w:val="0"/>
        </w:rPr>
      </w:r>
    </w:p>
    <w:p w:rsidR="00000000" w:rsidDel="00000000" w:rsidP="00000000" w:rsidRDefault="00000000" w:rsidRPr="00000000" w14:paraId="000005B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illustrativa</w:t>
      </w:r>
    </w:p>
    <w:p w:rsidR="00000000" w:rsidDel="00000000" w:rsidP="00000000" w:rsidRDefault="00000000" w:rsidRPr="00000000" w14:paraId="000005B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legge 1° ottobre 2018, n. 117, ha introdotto l’obbligo, per i conducenti di veicoli delle categorie internazionali M1, N1, N2 e N3 residenti in Italia e che trasportino sugli stessi con i prescritti sistemi di ritenuta bambini di età inferiore a 4 anni, di utilizzare un apposito dispositivo di allarme c.d. antiabbandono che scongiuri la possibilità che gli stessi minori possano essere dimenticati a bordo dei veicoli sui quali sono trasportati.</w:t>
      </w:r>
    </w:p>
    <w:p w:rsidR="00000000" w:rsidDel="00000000" w:rsidP="00000000" w:rsidRDefault="00000000" w:rsidRPr="00000000" w14:paraId="000005B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seguito, l’articolo 1, comma 296, della legge 30 dicembre 2018, n. 145, ha autorizzato la spesa di 1 milione di euro per ciascuno degli anni 2019 e 2020 proprio per la copertura degli oneri connessi all'attuazione dell'articolo 3 della legge 1° ottobre 2018, n. 117. </w:t>
      </w:r>
    </w:p>
    <w:p w:rsidR="00000000" w:rsidDel="00000000" w:rsidP="00000000" w:rsidRDefault="00000000" w:rsidRPr="00000000" w14:paraId="000005B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norma prevede, al </w:t>
      </w:r>
      <w:r w:rsidDel="00000000" w:rsidR="00000000" w:rsidRPr="00000000">
        <w:rPr>
          <w:rFonts w:ascii="Times New Roman" w:cs="Times New Roman" w:eastAsia="Times New Roman" w:hAnsi="Times New Roman"/>
          <w:b w:val="1"/>
          <w:sz w:val="24"/>
          <w:szCs w:val="24"/>
          <w:rtl w:val="0"/>
        </w:rPr>
        <w:t xml:space="preserve">comma 1, </w:t>
      </w:r>
      <w:r w:rsidDel="00000000" w:rsidR="00000000" w:rsidRPr="00000000">
        <w:rPr>
          <w:rFonts w:ascii="Times New Roman" w:cs="Times New Roman" w:eastAsia="Times New Roman" w:hAnsi="Times New Roman"/>
          <w:sz w:val="24"/>
          <w:szCs w:val="24"/>
          <w:rtl w:val="0"/>
        </w:rPr>
        <w:t xml:space="preserve">che le agevolazioni fiscali previste all’articolo 3 della legge n. 117 del 2018 sono concesse nella forma anche di contributo. In particolare, il </w:t>
      </w:r>
      <w:r w:rsidDel="00000000" w:rsidR="00000000" w:rsidRPr="00000000">
        <w:rPr>
          <w:rFonts w:ascii="Times New Roman" w:cs="Times New Roman" w:eastAsia="Times New Roman" w:hAnsi="Times New Roman"/>
          <w:b w:val="1"/>
          <w:sz w:val="24"/>
          <w:szCs w:val="24"/>
          <w:rtl w:val="0"/>
        </w:rPr>
        <w:t xml:space="preserve">comma 2 </w:t>
      </w:r>
      <w:r w:rsidDel="00000000" w:rsidR="00000000" w:rsidRPr="00000000">
        <w:rPr>
          <w:rFonts w:ascii="Times New Roman" w:cs="Times New Roman" w:eastAsia="Times New Roman" w:hAnsi="Times New Roman"/>
          <w:sz w:val="24"/>
          <w:szCs w:val="24"/>
          <w:rtl w:val="0"/>
        </w:rPr>
        <w:t xml:space="preserve">prevede un contributo di euro 30 per ciascun dispositivo di allarme acquistato, fino ad esaurimento delle risorse complessivamente disponibili pari a 15,1 milione per l’anno 2019 e 1 milione per l’anno 2020. Le modalità attuative della presente disposizione sono disciplinate con decreto del Ministero delle infrastrutture e dei trasporti, da adottare entro trenta giorni dalla data di entrata in vigore del presente decreto. Per conseguire tali finalità, la norma dispone l’istituzione presso il Ministero delle infrastrutture e dei trasporti di un apposito fondo, cui confluiscono le risorse di cui al comma 296 (pari a 1 milione di euro per l’anno 2019 ed a 1 milione di euro per l’anno 2020), nonché l’ulteriore somma stanziata dalla presente disposizione per l’anno 2019 pari a 14,1 milioni di euro. A copertura degli oneri derivanti dalla presente disposizione si provvede mediante corrispondente riduzione dell’autorizzazione di spesa di cui all’articolo 12, comma 18, del decreto – legge 28 settembre 2018, n. 109, relativa alle spese per l’assunzione di personale per l’anno 2019 dell’Agenzia nazionale per la sicurezza ferroviaria e delle infrastrutture stradali ed autostradali.</w:t>
      </w:r>
    </w:p>
    <w:p w:rsidR="00000000" w:rsidDel="00000000" w:rsidP="00000000" w:rsidRDefault="00000000" w:rsidRPr="00000000" w14:paraId="000005B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Conseguentemente, il </w:t>
      </w:r>
      <w:r w:rsidDel="00000000" w:rsidR="00000000" w:rsidRPr="00000000">
        <w:rPr>
          <w:rFonts w:ascii="Times New Roman" w:cs="Times New Roman" w:eastAsia="Times New Roman" w:hAnsi="Times New Roman"/>
          <w:b w:val="1"/>
          <w:sz w:val="24"/>
          <w:szCs w:val="24"/>
          <w:rtl w:val="0"/>
        </w:rPr>
        <w:t xml:space="preserve">comma 3</w:t>
      </w:r>
      <w:r w:rsidDel="00000000" w:rsidR="00000000" w:rsidRPr="00000000">
        <w:rPr>
          <w:rFonts w:ascii="Times New Roman" w:cs="Times New Roman" w:eastAsia="Times New Roman" w:hAnsi="Times New Roman"/>
          <w:sz w:val="24"/>
          <w:szCs w:val="24"/>
          <w:rtl w:val="0"/>
        </w:rPr>
        <w:t xml:space="preserve"> dispone la riduzione dei fondi attribuiti ad Ansfisa per l’anno 2019 per un importo pari ad euro 14,1 milione di euro.</w:t>
      </w:r>
    </w:p>
    <w:p w:rsidR="00000000" w:rsidDel="00000000" w:rsidP="00000000" w:rsidRDefault="00000000" w:rsidRPr="00000000" w14:paraId="000005B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b w:val="1"/>
          <w:sz w:val="24"/>
          <w:szCs w:val="24"/>
          <w:rtl w:val="0"/>
        </w:rPr>
        <w:t xml:space="preserve">comma 4, </w:t>
      </w:r>
      <w:r w:rsidDel="00000000" w:rsidR="00000000" w:rsidRPr="00000000">
        <w:rPr>
          <w:rFonts w:ascii="Times New Roman" w:cs="Times New Roman" w:eastAsia="Times New Roman" w:hAnsi="Times New Roman"/>
          <w:sz w:val="24"/>
          <w:szCs w:val="24"/>
          <w:rtl w:val="0"/>
        </w:rPr>
        <w:t xml:space="preserve">infine, prevede che il Ministero dell’economia e delle finanze è autorizzato ad apportare, con propri decreti, le occorrenti variazioni di bilancio.</w:t>
      </w:r>
      <w:r w:rsidDel="00000000" w:rsidR="00000000" w:rsidRPr="00000000">
        <w:rPr>
          <w:rtl w:val="0"/>
        </w:rPr>
      </w:r>
    </w:p>
    <w:p w:rsidR="00000000" w:rsidDel="00000000" w:rsidP="00000000" w:rsidRDefault="00000000" w:rsidRPr="00000000" w14:paraId="000005B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B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tecnica</w:t>
      </w:r>
    </w:p>
    <w:p w:rsidR="00000000" w:rsidDel="00000000" w:rsidP="00000000" w:rsidRDefault="00000000" w:rsidRPr="00000000" w14:paraId="000005B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norma stabilisce che le agevolazioni fiscali previste all’articolo 3 della legge n. 117 del 2018 sono concesse anche nella forma del contributo. In particolare, per incentivare e contribuire all’acquisto di dispositivi di allarme c.d. antiabbandono che scongiuri la possibilità che bambini di età inferiore a 4 anni possano essere dimenticati a bordo dei veicoli sui quali sono trasportati, la disposizione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prevede un contributo di euro 30 per ciascun dispositivo di allarme acquistato, fino ad esaurimento delle risorse complessivamente stanziate pari a 15,1 milione per l’anno 2019 e 1 milione per l’anno 2020. </w:t>
      </w:r>
    </w:p>
    <w:p w:rsidR="00000000" w:rsidDel="00000000" w:rsidP="00000000" w:rsidRDefault="00000000" w:rsidRPr="00000000" w14:paraId="000005B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il conseguimento di tali finalità, viene istituito un apposito fondo presso il Ministero delle infrastrutture e dei trasporti, cui confluiscono oltre alle risorse stanziate dall’articolo 1, comma 296, della legge 30 dicembre 2018, n. 145, pari ad 1 milione di euro per l’anno 2019 e 1 milione di euro per l’anno 2020, una ulteriore somma, per l’anno 2019, di euro 14,1 milioni di euro. </w:t>
      </w:r>
    </w:p>
    <w:p w:rsidR="00000000" w:rsidDel="00000000" w:rsidP="00000000" w:rsidRDefault="00000000" w:rsidRPr="00000000" w14:paraId="000005B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Agli oneri derivanti dalla presente disposizione pari a 14,1 milioni di euro si provvede mediante corrispondente riduzione dell’autorizzazione di spesa di cui all’articolo 12, comma 18, del decreto – legge 28 settembre 2018, n. 109, relativa alle spese per l’assunzione di personale per l’anno 2019 dell’Agenzia nazionale per la sicurezza ferroviaria e delle infrastrutture stradali ed autostradali.</w:t>
      </w:r>
    </w:p>
    <w:p w:rsidR="00000000" w:rsidDel="00000000" w:rsidP="00000000" w:rsidRDefault="00000000" w:rsidRPr="00000000" w14:paraId="000005B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taglio delle risorse attribuite ad Ansfisa per l’anno 2019 dal decreto-legge n. 109 del 2018, non pregiudica l’iter di costituzione dell’Agenzia e il suo successivo funzionamento, in quanto rimangono invariati gli stanziamenti per gli anni successivi. Tale riduzione tiene conto della circostanza che le procedure per la costituzione dell’Agenzia, nonché l’assunzione di personale da parte della stessa, tale da renderla pienamente operativa, hanno registrato tempi più lunghi rispetto a quanto inizialmente previsto. Pertanto, considerato che l’iter per consentire la piena operatività dell’Agenzia sarà concluso e perfezionato entro la fine del 2019 e, conseguentemente, le procedure di assunzione del personale saranno avviate a partire dall’anno 2020, si è ritenuto di poter utilizzare tali stanziamenti che in ogni caso non sarebbero state impegnati. Pertanto, il taglio di risorse avvenuto per il solo anno 2019 non comporta nessun rallentamento nella costituzione dell’Agenzia e non pregiudica la sua successiva funzionalità, essendo rimasti invariati gli stanziamenti per gli anni successivi a partire dal 2020. </w:t>
      </w:r>
    </w:p>
    <w:p w:rsidR="00000000" w:rsidDel="00000000" w:rsidP="00000000" w:rsidRDefault="00000000" w:rsidRPr="00000000" w14:paraId="000005B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52</w:t>
      </w:r>
    </w:p>
    <w:p w:rsidR="00000000" w:rsidDel="00000000" w:rsidP="00000000" w:rsidRDefault="00000000" w:rsidRPr="00000000" w14:paraId="000005C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Disposizioni in materia di autotrasporto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C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 fine di accrescere la sicurezza del trasporto su strada e di ridurre gli effetti climalteranti derivanti dal trasporto merci su strada, per l’anno 2019, in aggiunta alle risorse previste dalla vigente legislazione per gli investimenti da parte delle imprese di autotrasporto, sono stanziate ulteriori risorse, pari a complessivi 15,7 milioni di euro, da destinare, nel rispetto della normativa dell’Unione europea in materia di aiuti agli investimenti, al rinnovo del parco veicolare delle imprese attive sul territorio italiano iscritte al Registro elettronico nazionale (R.E.N.) e all’Albo nazionale degli autotrasportatori di cose per conto di terzi.</w:t>
      </w:r>
    </w:p>
    <w:p w:rsidR="00000000" w:rsidDel="00000000" w:rsidP="00000000" w:rsidRDefault="00000000" w:rsidRPr="00000000" w14:paraId="000005C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 contributi di cui al comma 1 sono destinati a finanziare, anche ai sensi di quanto previsto dall’articolo 10, commi 1 e 2, del Regolamento (CE) n. 595/2009 del Parlamento europeo e del Consiglio del 18 giugno 2009, gli investimenti avviati a far data dall’entrata in vigore della presente disposizione e finalizzati alla radiazione, per rottamazione, dei veicoli a motorizzazione termica fino a euro IV, adibiti al trasporto merci e di massa complessiva a pieno carico pari o superiore a 3,5 tonnellate, con contestuale acquisizione, anche mediante locazione finanziaria, di autoveicoli, nuovi di fabbrica, adibiti al trasporto merci e di massa complessiva a pieno carico pari o superiore a 3,5 tonnellate, a trazione alternativa a metano (CNG), gas naturale liquefatto (GNL), ibrida (diesel/elettrico) e elettrica (full electric) ovvero a motorizzazione termica e conformi alla normativa euro VI di cui al predetto Regolamento (CE) n. 595/2009.</w:t>
      </w:r>
    </w:p>
    <w:p w:rsidR="00000000" w:rsidDel="00000000" w:rsidP="00000000" w:rsidRDefault="00000000" w:rsidRPr="00000000" w14:paraId="000005C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 contributi di cui al comma 1 sono erogati fino a concorrenza delle risorse disponibili ed è esclusa la loro cumulabilità con altre agevolazioni, relative alle medesime tipologie di investimenti, incluse quelle concesse a titolo de minimis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ai sensi del Regolamento (UE) n. 1407/2013 della Commissione del 18 dicembre 2013. </w:t>
      </w:r>
    </w:p>
    <w:p w:rsidR="00000000" w:rsidDel="00000000" w:rsidP="00000000" w:rsidRDefault="00000000" w:rsidRPr="00000000" w14:paraId="000005C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Fermo quanto previsto dal comma 3, l’entità dei contributi, compresa tra un minimo di euro 2.000 e un massimo di euro 20.000 per ciascun veicolo, è differenziata in ragione della massa complessiva a pieno carico del nuovo veicolo e della sua modalità di alimentazione.</w:t>
      </w:r>
    </w:p>
    <w:p w:rsidR="00000000" w:rsidDel="00000000" w:rsidP="00000000" w:rsidRDefault="00000000" w:rsidRPr="00000000" w14:paraId="000005C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Con decreto di natura non regolamentare del Ministro delle infrastrutture dei trasporti, da adottare entro trenta giorni dalla data di entrata in vigore della presente disposizione, sono disciplinate le modalità e i termini di presentazione delle domande di contributo, i criteri di valutazione delle domande, l’entità del contributo massimo riconoscibile nonché le modalità di erogazione dello stesso. I criteri di valutazione delle domande assicurano la priorità del finanziamento degli investimenti relativi alla sostituzione dei veicoli a motorizzazione termica maggiormente inquinanti.</w:t>
      </w:r>
    </w:p>
    <w:p w:rsidR="00000000" w:rsidDel="00000000" w:rsidP="00000000" w:rsidRDefault="00000000" w:rsidRPr="00000000" w14:paraId="000005C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Agli oneri derivanti dal presente articolo, pari a complessivi 15,7 milioni di euro per l’anno 2019, si provvede quanto ad euro 2,8 milioni, mediante parziale utilizzo della quota di entrate previste dall'articolo 11, comma 1, del decreto legislativo 16 gennaio 2013, n. 2, quanto ad euro 2,6 milioni per l'anno 2019, mediante parziale utilizzo della quota di entrate previste dall'articolo 16 della legge 1° dicembre 1986, n. 870, quanto ad euro 5 milioni, mediante parziale utilizzo della quota di entrate previste dall'articolo 1, comma 921, della legge 27 dicembre 2006, n. 296, quanto ad euro 5,3 milioni, mediante parziale utilizzo della quota di entrate previste dall'articolo 5, comma 1, del decreto del Presidente della Repubblica 9 luglio 2010, n. 134.</w:t>
      </w:r>
    </w:p>
    <w:p w:rsidR="00000000" w:rsidDel="00000000" w:rsidP="00000000" w:rsidRDefault="00000000" w:rsidRPr="00000000" w14:paraId="000005CA">
      <w:pPr>
        <w:jc w:val="both"/>
        <w:rPr>
          <w:highlight w:val="yellow"/>
        </w:rPr>
      </w:pPr>
      <w:r w:rsidDel="00000000" w:rsidR="00000000" w:rsidRPr="00000000">
        <w:rPr>
          <w:rtl w:val="0"/>
        </w:rPr>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Relazione illustrativa</w:t>
      </w:r>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proposta normativa al comma 1 stabilisce che al fine di accrescere la sicurezza del trasporto su strada e di ridurre gli effetti climalteranti derivanti dal trasporto merci su strada, per l’anno 2019, in aggiunta alle risorse previste dalla vigente legislazione per gli investimenti da parte delle imprese di autotrasporto, sono stanziate ulteriori risorse, pari a complessivi 15,7 milioni di euro.</w:t>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Tali risorse sono destinate al rinnovo del parco veicolare delle imprese attive sul territorio italiano iscritte al Registro elettronico nazionale (R.E.N.) e all’Albo nazionale degli autotrasportatori di cose per conto di terzi.</w:t>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comma 2 prevede che oggetto del finanziamento sono gli investimenti avviati a far data dall’entrata in vigore della presente disposizione, finalizzati alla radiazione, per rottamazione, dei veicoli a motorizzazione termica fino a euro IV, adibiti al trasporto merci e di massa complessiva a pieno carico pari o superiore a 3,5 tonnellate, con contestuale acquisizione, anche mediante locazione finanziaria, di autoveicoli, nuovi di fabbrica, adibiti al trasporto merci e di massa complessiva a pieno carico pari o superiore a 3,5 tonnellate, a trazione alternativa a metano (CNG), gas naturale liquefatto (GNL), ibrida (diesel/elettrico) e elettrica (full electric) ovvero a motorizzazione termica e conformi alla normativa euro VI.</w:t>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comma 3 dispone che i contributi sono erogati nel limite di euro 15,7 milioni di euro, escludendo che gli stessi possano essere cumulati con altre agevolazioni, relative alle medesime tipologie di investimenti.</w:t>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comma 4 stabilisce che l’entità del contributo concesso è compreso tra un minimo di 2 mila euro ed un massimo di 20 mila per ciascun veicolo e varia in ragione della massa complessiva a pieno carico del nuovo veicolo e della sua modalità di alimentazione.</w:t>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comma 5 dispone che le modalità e i termini di presentazione delle domande di contributo, i criteri di valutazione delle domande, l’entità del contributo massimo riconoscibile nonché le modalità di erogazione dello stesso, sono stabilite con decreto di natura non regolamentare del Ministro delle infrastrutture dei trasporti. Inoltre, lo stesso comma stabilisce che i criteri di valutazione delle domande devono assicurare la priorità del finanziamento degli investimenti relativi alla sostituzione dei veicoli a motorizzazione termica maggiormente inquinanti al fine di ridurre l’impatto ambientale prodotto dai veicoli.</w:t>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comma 6 reca la copertura finanziaria delle misure previste dalla norma.</w:t>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Relazione tecnica</w:t>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proposta normativa prevede lo stanziamento, per l’anno 2019, di euro 15,7 milioni, che costituisce, altresì, il limite massimo degli importi da erogare a titolo di contributo, per finanziare gli investimenti avviati a far data dall’entrata in vigore della presente disposizione e finalizzati alla radiazione, per rottamazione, dei veicoli a motorizzazione termica fino a euro IV, adibiti al trasporto merci e di massa complessiva a pieno carico pari o superiore a 3,5 tonnellate, con contestuale acquisizione, anche mediante locazione finanziaria, di autoveicoli, nuovi di fabbrica, adibiti al trasporto merci e di massa complessiva a pieno carico pari o superiore a 3,5 tonnellate, a trazione alternativa a metano (CNG), gas naturale liquefatto (GNL), ibrida (diesel/elettrico) e elettrica (full electric) ovvero a motorizzazione termica e conformi alla normativa euro VI Trattasi di risorse aggiuntive rispetto a quelle già stanziate a favore del settore in argomento.</w:t>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finalità perseguite sono quelle di accrescere la sicurezza del trasporto su strada e di ridurre gli effetti climalteranti derivanti dal trasporto merci su strada. </w:t>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Dette finalità risultano particolarmente rilevanti in considerazione dell’elevato quantitativo di merci trasportate su strada (oltre il 50%) riguardo alle altre modalità e della vetustà del parco veicolare delle imprese interessate (mediamente 11 anni rispetto alla media di sette anni negli altri Paesi Ue). </w:t>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decreto di natura non regolamentare del Ministro delle infrastrutture e dei trasporti, da adottare entro trenta giorni dall’entrata in vigore della presente disposizione, sono stabiliti le modalità e i termini di presentazione delle domande di contributo, i criteri di valutazione delle domande, l’entità del contributo massimo riconoscibile (comprese tra un minimo di 2 mila euro ed un massimo di 20 mila per ciascun veicolo) nonché le modalità di erogazione dello stesso.</w:t>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Agli oneri derivanti dalla presente norma si provvede per l’anno 2019 mediante riduzione:</w:t>
      </w:r>
    </w:p>
    <w:p w:rsidR="00000000" w:rsidDel="00000000" w:rsidP="00000000" w:rsidRDefault="00000000" w:rsidRPr="00000000" w14:paraId="000005D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quanto ad euro 2.800.000 delle spese relative agli adempimenti connessi al nuovo modello UE di patente di guida a valere sul cap. 1285, pg 1 del bilancio del Ministero delle infrastrutture e dei trasporti;</w:t>
      </w:r>
    </w:p>
    <w:p w:rsidR="00000000" w:rsidDel="00000000" w:rsidP="00000000" w:rsidRDefault="00000000" w:rsidRPr="00000000" w14:paraId="000005D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quanto ad euro 2.600.000 delle spese relative alla gestione delle attrezzature tecniche per i servizi del Dipartimento dei trasporti terrestri a valere sul cap. 1235, pg 3 del bilancio del Ministero delle infrastrutture e dei trasporti;</w:t>
      </w:r>
    </w:p>
    <w:p w:rsidR="00000000" w:rsidDel="00000000" w:rsidP="00000000" w:rsidRDefault="00000000" w:rsidRPr="00000000" w14:paraId="000005D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quanto ad euro 5.000.000 delle spese per il funzionamento del centro elaborazioni dati del Dipartimento dei trasporti terrestri a valere sul cap. 1276, pg 1 del bilancio del Ministero delle infrastrutture e dei trasporti;</w:t>
      </w:r>
    </w:p>
    <w:p w:rsidR="00000000" w:rsidDel="00000000" w:rsidP="00000000" w:rsidRDefault="00000000" w:rsidRPr="00000000" w14:paraId="000005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quanto ad euro 5.300.000 delle spese per il funzionamento del Comitato centrale e dei comitati provinciali per l’albo degli autotrasportatori di cose per conto terzi, nonché per la tenuta dell’albo medesimo e per interventi a sostegno dell’autotrasporto a valere sul cap. 1294, del bilancio del Ministero delle infrastrutture e dei trasporti.</w:t>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F">
      <w:pPr>
        <w:spacing w:after="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5E0">
      <w:pPr>
        <w:spacing w:after="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Art. 53</w:t>
      </w:r>
    </w:p>
    <w:p w:rsidR="00000000" w:rsidDel="00000000" w:rsidP="00000000" w:rsidRDefault="00000000" w:rsidRPr="00000000" w14:paraId="000005E1">
      <w:pPr>
        <w:spacing w:after="0" w:lineRule="auto"/>
        <w:jc w:val="center"/>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(Modifiche al decreto legislativo 8 giugno 2001, n. 231</w:t>
      </w:r>
    </w:p>
    <w:p w:rsidR="00000000" w:rsidDel="00000000" w:rsidP="00000000" w:rsidRDefault="00000000" w:rsidRPr="00000000" w14:paraId="000005E2">
      <w:pPr>
        <w:spacing w:after="0" w:lineRule="auto"/>
        <w:jc w:val="cente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5E3">
      <w:pPr>
        <w:spacing w:after="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Art. 54</w:t>
      </w:r>
    </w:p>
    <w:p w:rsidR="00000000" w:rsidDel="00000000" w:rsidP="00000000" w:rsidRDefault="00000000" w:rsidRPr="00000000" w14:paraId="000005E4">
      <w:pPr>
        <w:spacing w:after="0" w:lineRule="auto"/>
        <w:ind w:hanging="11"/>
        <w:jc w:val="center"/>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(Modifiche al decreto legislativo 10 marzo 2000, n. 74)</w:t>
      </w:r>
    </w:p>
    <w:p w:rsidR="00000000" w:rsidDel="00000000" w:rsidP="00000000" w:rsidRDefault="00000000" w:rsidRPr="00000000" w14:paraId="000005E5">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E6">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55</w:t>
      </w:r>
    </w:p>
    <w:p w:rsidR="00000000" w:rsidDel="00000000" w:rsidP="00000000" w:rsidRDefault="00000000" w:rsidRPr="00000000" w14:paraId="000005E8">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(Disposizioni finanziarie) </w:t>
      </w:r>
    </w:p>
    <w:p w:rsidR="00000000" w:rsidDel="00000000" w:rsidP="00000000" w:rsidRDefault="00000000" w:rsidRPr="00000000" w14:paraId="000005E9">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5E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F1">
      <w:pPr>
        <w:spacing w:after="0" w:lineRule="auto"/>
        <w:rPr/>
      </w:pPr>
      <w:r w:rsidDel="00000000" w:rsidR="00000000" w:rsidRPr="00000000">
        <w:rPr>
          <w:rtl w:val="0"/>
        </w:rPr>
      </w:r>
    </w:p>
    <w:p w:rsidR="00000000" w:rsidDel="00000000" w:rsidP="00000000" w:rsidRDefault="00000000" w:rsidRPr="00000000" w14:paraId="000005F2">
      <w:pPr>
        <w:spacing w:after="0" w:lineRule="auto"/>
        <w:rPr>
          <w:rFonts w:ascii="Times New Roman" w:cs="Times New Roman" w:eastAsia="Times New Roman" w:hAnsi="Times New Roman"/>
          <w:sz w:val="24"/>
          <w:szCs w:val="24"/>
        </w:rPr>
      </w:pPr>
      <w:r w:rsidDel="00000000" w:rsidR="00000000" w:rsidRPr="00000000">
        <w:rPr>
          <w:rtl w:val="0"/>
        </w:rPr>
      </w:r>
    </w:p>
    <w:sectPr>
      <w:footerReference r:id="rId9"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jc w:val="center"/>
    </w:pPr>
    <w:rPr>
      <w:rFonts w:ascii="Verdana" w:cs="Verdana" w:eastAsia="Verdana" w:hAnsi="Verdana"/>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810F4"/>
    <w:pPr>
      <w:spacing w:after="200" w:line="276" w:lineRule="auto"/>
    </w:pPr>
  </w:style>
  <w:style w:type="paragraph" w:styleId="Titolo2">
    <w:name w:val="heading 2"/>
    <w:basedOn w:val="Normale"/>
    <w:link w:val="Titolo2Carattere"/>
    <w:uiPriority w:val="9"/>
    <w:semiHidden w:val="1"/>
    <w:unhideWhenUsed w:val="1"/>
    <w:qFormat w:val="1"/>
    <w:rsid w:val="00226F0A"/>
    <w:pPr>
      <w:keepNext w:val="1"/>
      <w:spacing w:after="0" w:line="240" w:lineRule="auto"/>
      <w:jc w:val="center"/>
      <w:outlineLvl w:val="1"/>
    </w:pPr>
    <w:rPr>
      <w:rFonts w:ascii="Verdana" w:cs="Times New Roman" w:hAnsi="Verdana"/>
      <w:b w:val="1"/>
      <w:bCs w:val="1"/>
      <w:sz w:val="24"/>
      <w:szCs w:val="24"/>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335494"/>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335494"/>
    <w:rPr>
      <w:rFonts w:ascii="Segoe UI" w:cs="Segoe UI" w:hAnsi="Segoe UI"/>
      <w:sz w:val="18"/>
      <w:szCs w:val="18"/>
    </w:rPr>
  </w:style>
  <w:style w:type="paragraph" w:styleId="Testonotaapidipagina">
    <w:name w:val="footnote text"/>
    <w:aliases w:val=" Char,Char,Carattere,Carattere Carattere Carattere Carattere Carattere Carattere Carattere,Carattere1,Carattere12,Carattere11,Carattere4 Carattere"/>
    <w:basedOn w:val="Normale"/>
    <w:link w:val="TestonotaapidipaginaCarattere"/>
    <w:unhideWhenUsed w:val="1"/>
    <w:qFormat w:val="1"/>
    <w:rsid w:val="006A09A6"/>
    <w:pPr>
      <w:spacing w:after="0" w:before="120" w:line="240" w:lineRule="auto"/>
      <w:ind w:right="-1" w:firstLine="284"/>
      <w:jc w:val="both"/>
    </w:pPr>
    <w:rPr>
      <w:sz w:val="20"/>
      <w:szCs w:val="20"/>
    </w:rPr>
  </w:style>
  <w:style w:type="character" w:styleId="TestonotaapidipaginaCarattere" w:customStyle="1">
    <w:name w:val="Testo nota a piè di pagina Carattere"/>
    <w:aliases w:val=" Char Carattere,Char Carattere,Carattere Carattere,Carattere Carattere Carattere Carattere Carattere Carattere Carattere Carattere,Carattere1 Carattere,Carattere12 Carattere,Carattere11 Carattere"/>
    <w:basedOn w:val="Carpredefinitoparagrafo"/>
    <w:link w:val="Testonotaapidipagina"/>
    <w:qFormat w:val="1"/>
    <w:rsid w:val="006A09A6"/>
    <w:rPr>
      <w:sz w:val="20"/>
      <w:szCs w:val="20"/>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
    <w:basedOn w:val="Carpredefinitoparagrafo"/>
    <w:uiPriority w:val="99"/>
    <w:unhideWhenUsed w:val="1"/>
    <w:qFormat w:val="1"/>
    <w:rsid w:val="006A09A6"/>
    <w:rPr>
      <w:vertAlign w:val="superscript"/>
    </w:rPr>
  </w:style>
  <w:style w:type="table" w:styleId="Grigliatabella">
    <w:name w:val="Table Grid"/>
    <w:basedOn w:val="Tabellanormale"/>
    <w:uiPriority w:val="59"/>
    <w:rsid w:val="00E16B7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basedOn w:val="Carpredefinitoparagrafo"/>
    <w:uiPriority w:val="99"/>
    <w:semiHidden w:val="1"/>
    <w:unhideWhenUsed w:val="1"/>
    <w:rsid w:val="00E16B7E"/>
    <w:rPr>
      <w:color w:val="0563c1"/>
      <w:u w:val="single"/>
    </w:rPr>
  </w:style>
  <w:style w:type="paragraph" w:styleId="Paragrafoelenco">
    <w:name w:val="List Paragraph"/>
    <w:aliases w:val="Bullet List,FooterText,lp1,List Paragraph1,lp11,List Paragraph11,Use Case List Paragraph,numbered,Paragraphe de liste1,Bulletr List Paragraph,列出段落,列出段落1,Bullet 1,titolo 1 rosso,Paragrafo elenco 2,List-1,Normale + Elenco puntato,????,EC"/>
    <w:basedOn w:val="Normale"/>
    <w:link w:val="ParagrafoelencoCarattere"/>
    <w:uiPriority w:val="34"/>
    <w:qFormat w:val="1"/>
    <w:rsid w:val="00705893"/>
    <w:pPr>
      <w:ind w:left="720"/>
      <w:contextualSpacing w:val="1"/>
    </w:pPr>
  </w:style>
  <w:style w:type="paragraph" w:styleId="Nessunaspaziatura">
    <w:name w:val="No Spacing"/>
    <w:uiPriority w:val="1"/>
    <w:qFormat w:val="1"/>
    <w:rsid w:val="00BF28F9"/>
    <w:pPr>
      <w:spacing w:after="0" w:line="240" w:lineRule="auto"/>
    </w:pPr>
  </w:style>
  <w:style w:type="character" w:styleId="ParagrafoelencoCarattere" w:customStyle="1">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val="1"/>
    <w:locked w:val="1"/>
    <w:rsid w:val="006039A2"/>
  </w:style>
  <w:style w:type="paragraph" w:styleId="DRERcorpo" w:customStyle="1">
    <w:name w:val="DRER corpo"/>
    <w:basedOn w:val="Normale"/>
    <w:link w:val="DRERcorpoCarattere"/>
    <w:qFormat w:val="1"/>
    <w:rsid w:val="00E071F0"/>
    <w:pPr>
      <w:spacing w:after="0" w:before="120" w:line="360" w:lineRule="atLeast"/>
      <w:ind w:firstLine="709"/>
      <w:jc w:val="both"/>
    </w:pPr>
    <w:rPr>
      <w:rFonts w:ascii="Times New Roman" w:cs="Times New Roman" w:eastAsia="Times New Roman" w:hAnsi="Times New Roman"/>
      <w:sz w:val="26"/>
      <w:szCs w:val="20"/>
      <w:lang w:eastAsia="x-none" w:val="x-none"/>
    </w:rPr>
  </w:style>
  <w:style w:type="character" w:styleId="DRERcorpoCarattere" w:customStyle="1">
    <w:name w:val="DRER corpo Carattere"/>
    <w:link w:val="DRERcorpo"/>
    <w:locked w:val="1"/>
    <w:rsid w:val="00E071F0"/>
    <w:rPr>
      <w:rFonts w:ascii="Times New Roman" w:cs="Times New Roman" w:eastAsia="Times New Roman" w:hAnsi="Times New Roman"/>
      <w:sz w:val="26"/>
      <w:szCs w:val="20"/>
      <w:lang w:eastAsia="x-none" w:val="x-none"/>
    </w:rPr>
  </w:style>
  <w:style w:type="character" w:styleId="Titolo2Carattere" w:customStyle="1">
    <w:name w:val="Titolo 2 Carattere"/>
    <w:basedOn w:val="Carpredefinitoparagrafo"/>
    <w:link w:val="Titolo2"/>
    <w:uiPriority w:val="9"/>
    <w:semiHidden w:val="1"/>
    <w:rsid w:val="00226F0A"/>
    <w:rPr>
      <w:rFonts w:ascii="Verdana" w:cs="Times New Roman" w:hAnsi="Verdana"/>
      <w:b w:val="1"/>
      <w:bCs w:val="1"/>
      <w:sz w:val="24"/>
      <w:szCs w:val="24"/>
      <w:lang w:eastAsia="it-IT"/>
    </w:rPr>
  </w:style>
  <w:style w:type="paragraph" w:styleId="rgscorpodeltesto" w:customStyle="1">
    <w:name w:val="rgscorpodeltesto"/>
    <w:basedOn w:val="Normale"/>
    <w:rsid w:val="00226F0A"/>
    <w:pPr>
      <w:spacing w:after="100" w:afterAutospacing="1" w:before="100" w:beforeAutospacing="1" w:line="240" w:lineRule="auto"/>
    </w:pPr>
    <w:rPr>
      <w:rFonts w:ascii="Times New Roman" w:cs="Times New Roman" w:hAnsi="Times New Roman"/>
      <w:sz w:val="24"/>
      <w:szCs w:val="24"/>
      <w:lang w:eastAsia="it-IT"/>
    </w:rPr>
  </w:style>
  <w:style w:type="paragraph" w:styleId="NormaleWeb">
    <w:name w:val="Normal (Web)"/>
    <w:basedOn w:val="Normale"/>
    <w:uiPriority w:val="99"/>
    <w:unhideWhenUsed w:val="1"/>
    <w:rsid w:val="00A52E43"/>
    <w:pPr>
      <w:spacing w:after="100" w:afterAutospacing="1" w:before="100" w:beforeAutospacing="1" w:line="240" w:lineRule="auto"/>
    </w:pPr>
    <w:rPr>
      <w:rFonts w:ascii="Times New Roman" w:cs="Times New Roman" w:eastAsia="Times New Roman" w:hAnsi="Times New Roman"/>
      <w:sz w:val="24"/>
      <w:szCs w:val="24"/>
      <w:lang w:eastAsia="it-IT"/>
    </w:rPr>
  </w:style>
  <w:style w:type="paragraph" w:styleId="Intestazione">
    <w:name w:val="header"/>
    <w:basedOn w:val="Normale"/>
    <w:link w:val="IntestazioneCarattere"/>
    <w:uiPriority w:val="99"/>
    <w:unhideWhenUsed w:val="1"/>
    <w:rsid w:val="00D961A7"/>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D961A7"/>
  </w:style>
  <w:style w:type="paragraph" w:styleId="Pidipagina">
    <w:name w:val="footer"/>
    <w:basedOn w:val="Normale"/>
    <w:link w:val="PidipaginaCarattere"/>
    <w:uiPriority w:val="99"/>
    <w:unhideWhenUsed w:val="1"/>
    <w:rsid w:val="00D961A7"/>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D961A7"/>
  </w:style>
  <w:style w:type="character" w:styleId="Enfasicorsivo">
    <w:name w:val="Emphasis"/>
    <w:basedOn w:val="Carpredefinitoparagrafo"/>
    <w:uiPriority w:val="20"/>
    <w:qFormat w:val="1"/>
    <w:rsid w:val="00412CB1"/>
    <w:rPr>
      <w:i w:val="1"/>
      <w:iCs w:val="1"/>
    </w:rPr>
  </w:style>
  <w:style w:type="paragraph" w:styleId="s3" w:customStyle="1">
    <w:name w:val="s3"/>
    <w:basedOn w:val="Normale"/>
    <w:rsid w:val="00FC5BA2"/>
    <w:pPr>
      <w:spacing w:after="100" w:afterAutospacing="1" w:before="100" w:beforeAutospacing="1" w:line="240" w:lineRule="auto"/>
    </w:pPr>
    <w:rPr>
      <w:rFonts w:ascii="Times New Roman" w:cs="Times New Roman" w:eastAsia="Calibri" w:hAnsi="Times New Roman"/>
      <w:sz w:val="24"/>
      <w:szCs w:val="24"/>
      <w:lang w:eastAsia="it-IT"/>
    </w:rPr>
  </w:style>
  <w:style w:type="character" w:styleId="s15" w:customStyle="1">
    <w:name w:val="s15"/>
    <w:basedOn w:val="Carpredefinitoparagrafo"/>
    <w:rsid w:val="00FC5BA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a.leggiditalia.it/#id=10LX0000100770ART2,__m=document" TargetMode="External"/><Relationship Id="rId8" Type="http://schemas.openxmlformats.org/officeDocument/2006/relationships/hyperlink" Target="http://pa.leggiditalia.it/#id=10LX0000100770ART2,__m=docu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1XUt/rDJdltUOXdE10kBNP5xw==">AMUW2mVWZXtHdHhTdQWY4jh5N+lYdZ1hzbK4y1cR185aqLcrUr+BUoWCabwB4UOCywsbdA6k9xvGorq8QsMvCHFFg45uCnTIozmUuagMudXf5Y73i1U1FCmPKCFoE6s9QVr211rZDXENICQkgeK32H6MtGaK0tXmD8JaxNPaLeum2TYBG1HEE9QgF4PNVFkapeSuLAghrq1j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2019-10-15T13:18:00Z</dcterms:created>
  <dc:creator>Federica Fabiani</dc:creator>
</cp:coreProperties>
</file>